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5" w:rsidRDefault="00ED24F5" w:rsidP="00B52192">
      <w:pPr>
        <w:rPr>
          <w:color w:val="000000"/>
          <w:sz w:val="28"/>
          <w:szCs w:val="28"/>
        </w:rPr>
      </w:pPr>
      <w:bookmarkStart w:id="0" w:name="_GoBack"/>
      <w:bookmarkEnd w:id="0"/>
    </w:p>
    <w:p w:rsidR="00ED24F5" w:rsidRDefault="00ED24F5" w:rsidP="00B52192">
      <w:pPr>
        <w:rPr>
          <w:color w:val="000000"/>
          <w:sz w:val="28"/>
          <w:szCs w:val="28"/>
        </w:rPr>
      </w:pPr>
    </w:p>
    <w:p w:rsidR="00ED24F5" w:rsidRDefault="00ED24F5" w:rsidP="00B52192">
      <w:pPr>
        <w:rPr>
          <w:color w:val="000000"/>
          <w:sz w:val="28"/>
          <w:szCs w:val="28"/>
        </w:rPr>
      </w:pPr>
    </w:p>
    <w:p w:rsidR="009232A8" w:rsidRDefault="009232A8" w:rsidP="00B767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uk-UA"/>
        </w:rPr>
      </w:pPr>
      <w:r>
        <w:rPr>
          <w:rFonts w:ascii="Times New Roman CYR" w:hAnsi="Times New Roman CYR" w:cs="Times New Roman CYR"/>
          <w:sz w:val="24"/>
          <w:szCs w:val="24"/>
          <w:lang w:eastAsia="uk-UA"/>
        </w:rPr>
        <w:t xml:space="preserve">                                 </w:t>
      </w:r>
      <w:r w:rsidR="0009070F">
        <w:rPr>
          <w:rFonts w:ascii="Times New Roman CYR" w:hAnsi="Times New Roman CYR" w:cs="Times New Roman CYR"/>
          <w:sz w:val="24"/>
          <w:szCs w:val="24"/>
          <w:lang w:eastAsia="uk-UA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lang w:eastAsia="uk-UA"/>
        </w:rPr>
        <w:t xml:space="preserve">     </w:t>
      </w:r>
      <w:r w:rsidR="00452FAC">
        <w:rPr>
          <w:rFonts w:ascii="Times New Roman CYR" w:hAnsi="Times New Roman CYR" w:cs="Times New Roman CYR"/>
          <w:sz w:val="24"/>
          <w:szCs w:val="24"/>
          <w:lang w:eastAsia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uk-UA"/>
        </w:rPr>
        <w:t xml:space="preserve">  </w:t>
      </w:r>
      <w:r w:rsidR="00B76718">
        <w:rPr>
          <w:rFonts w:ascii="Times New Roman CYR" w:hAnsi="Times New Roman CYR" w:cs="Times New Roman CYR"/>
          <w:sz w:val="24"/>
          <w:szCs w:val="24"/>
          <w:lang w:eastAsia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uk-UA"/>
        </w:rPr>
        <w:t xml:space="preserve"> Додаток до рішення</w:t>
      </w:r>
    </w:p>
    <w:p w:rsidR="009232A8" w:rsidRDefault="009232A8" w:rsidP="00B767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uk-UA"/>
        </w:rPr>
      </w:pPr>
      <w:r w:rsidRPr="007D3DBC">
        <w:rPr>
          <w:sz w:val="24"/>
          <w:szCs w:val="24"/>
          <w:lang w:eastAsia="uk-UA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lang w:eastAsia="uk-UA"/>
        </w:rPr>
        <w:t>Городищенської сільської ради</w:t>
      </w:r>
    </w:p>
    <w:p w:rsidR="009232A8" w:rsidRDefault="009232A8" w:rsidP="00B767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uk-UA"/>
        </w:rPr>
      </w:pPr>
      <w:r w:rsidRPr="007D3DBC">
        <w:rPr>
          <w:sz w:val="24"/>
          <w:szCs w:val="24"/>
          <w:lang w:eastAsia="uk-UA"/>
        </w:rPr>
        <w:t xml:space="preserve">                                                                                                  </w:t>
      </w:r>
      <w:r w:rsidR="00B76718">
        <w:rPr>
          <w:sz w:val="24"/>
          <w:szCs w:val="24"/>
          <w:lang w:eastAsia="uk-UA"/>
        </w:rPr>
        <w:t xml:space="preserve">  </w:t>
      </w:r>
      <w:r w:rsidRPr="007D3DBC">
        <w:rPr>
          <w:sz w:val="24"/>
          <w:szCs w:val="24"/>
          <w:lang w:eastAsia="uk-UA"/>
        </w:rPr>
        <w:t xml:space="preserve"> </w:t>
      </w:r>
      <w:r w:rsidR="00452FAC">
        <w:rPr>
          <w:rFonts w:ascii="Times New Roman CYR" w:hAnsi="Times New Roman CYR" w:cs="Times New Roman CYR"/>
          <w:sz w:val="24"/>
          <w:szCs w:val="24"/>
          <w:lang w:eastAsia="uk-UA"/>
        </w:rPr>
        <w:t>від 22.12.2021 року № 13/</w:t>
      </w:r>
      <w:r w:rsidR="00B76718">
        <w:rPr>
          <w:rFonts w:ascii="Times New Roman CYR" w:hAnsi="Times New Roman CYR" w:cs="Times New Roman CYR"/>
          <w:sz w:val="24"/>
          <w:szCs w:val="24"/>
          <w:lang w:eastAsia="uk-UA"/>
        </w:rPr>
        <w:t>23</w:t>
      </w:r>
    </w:p>
    <w:p w:rsidR="009232A8" w:rsidRPr="007D3DBC" w:rsidRDefault="009232A8" w:rsidP="009232A8">
      <w:pPr>
        <w:autoSpaceDE w:val="0"/>
        <w:autoSpaceDN w:val="0"/>
        <w:adjustRightInd w:val="0"/>
        <w:jc w:val="right"/>
        <w:rPr>
          <w:sz w:val="24"/>
          <w:szCs w:val="24"/>
          <w:lang w:eastAsia="uk-UA"/>
        </w:rPr>
      </w:pPr>
    </w:p>
    <w:p w:rsidR="009232A8" w:rsidRPr="007D3DBC" w:rsidRDefault="009232A8" w:rsidP="009232A8">
      <w:pPr>
        <w:autoSpaceDE w:val="0"/>
        <w:autoSpaceDN w:val="0"/>
        <w:adjustRightInd w:val="0"/>
        <w:jc w:val="center"/>
        <w:rPr>
          <w:b/>
          <w:bCs/>
          <w:sz w:val="56"/>
          <w:szCs w:val="56"/>
          <w:lang w:eastAsia="uk-UA"/>
        </w:rPr>
      </w:pPr>
    </w:p>
    <w:p w:rsidR="009232A8" w:rsidRPr="007D3DBC" w:rsidRDefault="009232A8" w:rsidP="009232A8">
      <w:pPr>
        <w:autoSpaceDE w:val="0"/>
        <w:autoSpaceDN w:val="0"/>
        <w:adjustRightInd w:val="0"/>
        <w:jc w:val="center"/>
        <w:rPr>
          <w:b/>
          <w:bCs/>
          <w:sz w:val="56"/>
          <w:szCs w:val="56"/>
          <w:lang w:eastAsia="uk-UA"/>
        </w:rPr>
      </w:pPr>
    </w:p>
    <w:p w:rsidR="009232A8" w:rsidRPr="007D3DBC" w:rsidRDefault="009232A8" w:rsidP="009232A8">
      <w:pPr>
        <w:autoSpaceDE w:val="0"/>
        <w:autoSpaceDN w:val="0"/>
        <w:adjustRightInd w:val="0"/>
        <w:jc w:val="center"/>
        <w:rPr>
          <w:b/>
          <w:bCs/>
          <w:sz w:val="56"/>
          <w:szCs w:val="56"/>
          <w:lang w:eastAsia="uk-UA"/>
        </w:rPr>
      </w:pPr>
    </w:p>
    <w:p w:rsidR="009232A8" w:rsidRPr="007D3DBC" w:rsidRDefault="009232A8" w:rsidP="009232A8">
      <w:pPr>
        <w:autoSpaceDE w:val="0"/>
        <w:autoSpaceDN w:val="0"/>
        <w:adjustRightInd w:val="0"/>
        <w:jc w:val="center"/>
        <w:rPr>
          <w:b/>
          <w:bCs/>
          <w:sz w:val="56"/>
          <w:szCs w:val="56"/>
          <w:lang w:eastAsia="uk-UA"/>
        </w:rPr>
      </w:pPr>
    </w:p>
    <w:p w:rsidR="009232A8" w:rsidRPr="007D3DBC" w:rsidRDefault="009232A8" w:rsidP="009232A8">
      <w:pPr>
        <w:autoSpaceDE w:val="0"/>
        <w:autoSpaceDN w:val="0"/>
        <w:adjustRightInd w:val="0"/>
        <w:jc w:val="center"/>
        <w:rPr>
          <w:b/>
          <w:bCs/>
          <w:sz w:val="56"/>
          <w:szCs w:val="56"/>
          <w:lang w:eastAsia="uk-UA"/>
        </w:rPr>
      </w:pPr>
    </w:p>
    <w:p w:rsidR="009232A8" w:rsidRDefault="00A36419" w:rsidP="009232A8">
      <w:pPr>
        <w:tabs>
          <w:tab w:val="left" w:pos="660"/>
        </w:tabs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П</w:t>
      </w:r>
      <w:r w:rsidR="009232A8">
        <w:rPr>
          <w:b/>
          <w:color w:val="000000"/>
          <w:sz w:val="56"/>
          <w:szCs w:val="56"/>
        </w:rPr>
        <w:t>рограма</w:t>
      </w:r>
    </w:p>
    <w:p w:rsidR="009232A8" w:rsidRDefault="009232A8" w:rsidP="009232A8">
      <w:pPr>
        <w:tabs>
          <w:tab w:val="left" w:pos="660"/>
        </w:tabs>
        <w:jc w:val="center"/>
        <w:rPr>
          <w:b/>
          <w:color w:val="000000"/>
          <w:sz w:val="56"/>
          <w:szCs w:val="56"/>
        </w:rPr>
      </w:pPr>
      <w:r w:rsidRPr="009232A8">
        <w:rPr>
          <w:b/>
          <w:color w:val="000000"/>
          <w:sz w:val="56"/>
          <w:szCs w:val="56"/>
        </w:rPr>
        <w:t>«Поліцейський</w:t>
      </w:r>
      <w:r>
        <w:rPr>
          <w:b/>
          <w:color w:val="000000"/>
          <w:sz w:val="56"/>
          <w:szCs w:val="56"/>
        </w:rPr>
        <w:t xml:space="preserve"> </w:t>
      </w:r>
      <w:r w:rsidR="004412C9">
        <w:rPr>
          <w:b/>
          <w:color w:val="000000"/>
          <w:sz w:val="56"/>
          <w:szCs w:val="56"/>
        </w:rPr>
        <w:t>офіцер громади</w:t>
      </w:r>
    </w:p>
    <w:p w:rsidR="009232A8" w:rsidRPr="009232A8" w:rsidRDefault="00452FAC" w:rsidP="009232A8">
      <w:pPr>
        <w:tabs>
          <w:tab w:val="left" w:pos="660"/>
        </w:tabs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на 2022-2023</w:t>
      </w:r>
      <w:r w:rsidR="009232A8" w:rsidRPr="009232A8">
        <w:rPr>
          <w:b/>
          <w:color w:val="000000"/>
          <w:sz w:val="56"/>
          <w:szCs w:val="56"/>
        </w:rPr>
        <w:t xml:space="preserve"> роки»</w:t>
      </w:r>
    </w:p>
    <w:p w:rsidR="009232A8" w:rsidRDefault="009232A8" w:rsidP="009232A8">
      <w:pPr>
        <w:jc w:val="both"/>
        <w:rPr>
          <w:color w:val="000000"/>
          <w:sz w:val="28"/>
          <w:szCs w:val="28"/>
        </w:rPr>
      </w:pPr>
      <w:r w:rsidRPr="00C2002A">
        <w:rPr>
          <w:color w:val="000000"/>
          <w:sz w:val="28"/>
          <w:szCs w:val="28"/>
        </w:rPr>
        <w:t xml:space="preserve"> </w:t>
      </w: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452FAC" w:rsidRPr="00006A54" w:rsidRDefault="00452FAC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9232A8" w:rsidRPr="00006A54" w:rsidRDefault="009232A8" w:rsidP="009232A8">
      <w:pPr>
        <w:autoSpaceDE w:val="0"/>
        <w:autoSpaceDN w:val="0"/>
        <w:adjustRightInd w:val="0"/>
        <w:jc w:val="both"/>
        <w:rPr>
          <w:sz w:val="26"/>
          <w:szCs w:val="26"/>
          <w:lang w:val="ru-RU" w:eastAsia="uk-UA"/>
        </w:rPr>
      </w:pPr>
    </w:p>
    <w:p w:rsidR="00B52192" w:rsidRPr="00AB5D3E" w:rsidRDefault="00B52192" w:rsidP="00AB5D3E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5D3E">
        <w:rPr>
          <w:color w:val="000000"/>
          <w:sz w:val="28"/>
          <w:szCs w:val="28"/>
        </w:rPr>
        <w:t xml:space="preserve">                                            </w:t>
      </w:r>
      <w:r w:rsidR="004412C9">
        <w:rPr>
          <w:color w:val="000000"/>
          <w:sz w:val="28"/>
          <w:szCs w:val="28"/>
        </w:rPr>
        <w:t xml:space="preserve">           </w:t>
      </w:r>
      <w:r w:rsidR="00AB5D3E">
        <w:rPr>
          <w:color w:val="000000"/>
          <w:sz w:val="28"/>
          <w:szCs w:val="28"/>
        </w:rPr>
        <w:t xml:space="preserve">  </w:t>
      </w:r>
      <w:r w:rsidRPr="00AB5D3E">
        <w:rPr>
          <w:b/>
          <w:sz w:val="28"/>
          <w:szCs w:val="28"/>
        </w:rPr>
        <w:t>ПАСПОРТ</w:t>
      </w:r>
    </w:p>
    <w:p w:rsidR="00B52192" w:rsidRPr="00AB5D3E" w:rsidRDefault="00B52192" w:rsidP="00B52192">
      <w:pPr>
        <w:jc w:val="center"/>
        <w:rPr>
          <w:b/>
          <w:sz w:val="28"/>
          <w:szCs w:val="28"/>
        </w:rPr>
      </w:pPr>
      <w:r w:rsidRPr="00AB5D3E">
        <w:rPr>
          <w:b/>
          <w:sz w:val="28"/>
          <w:szCs w:val="28"/>
        </w:rPr>
        <w:t>програми «Поліцейський офіцер громади</w:t>
      </w:r>
      <w:r w:rsidR="004412C9">
        <w:rPr>
          <w:b/>
          <w:sz w:val="28"/>
          <w:szCs w:val="28"/>
        </w:rPr>
        <w:t xml:space="preserve"> на 2022-2023 роки</w:t>
      </w:r>
      <w:r w:rsidRPr="00AB5D3E">
        <w:rPr>
          <w:b/>
          <w:sz w:val="28"/>
          <w:szCs w:val="28"/>
        </w:rPr>
        <w:t>»</w:t>
      </w:r>
    </w:p>
    <w:p w:rsidR="00B52192" w:rsidRPr="002731DD" w:rsidRDefault="00B52192" w:rsidP="00B52192">
      <w:pPr>
        <w:jc w:val="center"/>
        <w:rPr>
          <w:sz w:val="28"/>
          <w:szCs w:val="28"/>
        </w:rPr>
      </w:pPr>
    </w:p>
    <w:p w:rsidR="00B52192" w:rsidRPr="002731DD" w:rsidRDefault="00B52192" w:rsidP="00B521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02"/>
      </w:tblGrid>
      <w:tr w:rsidR="002731DD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pStyle w:val="a4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 xml:space="preserve">Виконавчий комітет </w:t>
            </w:r>
            <w:r w:rsidR="00457DB0" w:rsidRPr="002731DD">
              <w:rPr>
                <w:sz w:val="28"/>
                <w:szCs w:val="28"/>
              </w:rPr>
              <w:t xml:space="preserve">Городищенської </w:t>
            </w:r>
            <w:r w:rsidRPr="002731DD">
              <w:rPr>
                <w:sz w:val="28"/>
                <w:szCs w:val="28"/>
              </w:rPr>
              <w:t>сільської   ради</w:t>
            </w:r>
          </w:p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</w:p>
        </w:tc>
      </w:tr>
      <w:tr w:rsidR="002731DD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 xml:space="preserve">Виконавчий комітет </w:t>
            </w:r>
            <w:r w:rsidR="00457DB0" w:rsidRPr="002731DD">
              <w:rPr>
                <w:sz w:val="28"/>
                <w:szCs w:val="28"/>
              </w:rPr>
              <w:t xml:space="preserve">Городищенської </w:t>
            </w:r>
            <w:r w:rsidRPr="002731DD">
              <w:rPr>
                <w:sz w:val="28"/>
                <w:szCs w:val="28"/>
              </w:rPr>
              <w:t>сільської   ради</w:t>
            </w:r>
          </w:p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</w:p>
        </w:tc>
      </w:tr>
      <w:tr w:rsidR="002731DD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B52192" w:rsidP="00E92CE1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 xml:space="preserve"> </w:t>
            </w:r>
            <w:r w:rsidR="00457DB0" w:rsidRPr="002731DD">
              <w:rPr>
                <w:sz w:val="28"/>
                <w:szCs w:val="28"/>
              </w:rPr>
              <w:t>Городищенська</w:t>
            </w:r>
            <w:r w:rsidRPr="002731DD">
              <w:rPr>
                <w:sz w:val="28"/>
                <w:szCs w:val="28"/>
              </w:rPr>
              <w:t xml:space="preserve"> сільська рада та її виконавчий комітет, відділ поліції</w:t>
            </w:r>
          </w:p>
        </w:tc>
      </w:tr>
      <w:tr w:rsidR="002731DD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Співвиконавці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-</w:t>
            </w:r>
          </w:p>
        </w:tc>
      </w:tr>
      <w:tr w:rsidR="002731DD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20</w:t>
            </w:r>
            <w:r w:rsidR="00452FAC">
              <w:rPr>
                <w:sz w:val="28"/>
                <w:szCs w:val="28"/>
              </w:rPr>
              <w:t>22</w:t>
            </w:r>
            <w:r w:rsidRPr="002731DD">
              <w:rPr>
                <w:sz w:val="28"/>
                <w:szCs w:val="28"/>
              </w:rPr>
              <w:t>-20</w:t>
            </w:r>
            <w:r w:rsidR="00452FAC">
              <w:rPr>
                <w:sz w:val="28"/>
                <w:szCs w:val="28"/>
              </w:rPr>
              <w:t>23</w:t>
            </w:r>
            <w:r w:rsidRPr="002731DD">
              <w:rPr>
                <w:sz w:val="28"/>
                <w:szCs w:val="28"/>
              </w:rPr>
              <w:t>роки</w:t>
            </w:r>
          </w:p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</w:p>
        </w:tc>
      </w:tr>
      <w:tr w:rsidR="002731DD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B52192" w:rsidP="00E925BE">
            <w:pPr>
              <w:jc w:val="both"/>
              <w:rPr>
                <w:sz w:val="28"/>
                <w:szCs w:val="28"/>
              </w:rPr>
            </w:pPr>
            <w:r w:rsidRPr="002731DD">
              <w:rPr>
                <w:bCs/>
                <w:sz w:val="28"/>
                <w:szCs w:val="28"/>
              </w:rPr>
              <w:t xml:space="preserve">Бюджет територіальної громади </w:t>
            </w:r>
            <w:r w:rsidR="00457DB0" w:rsidRPr="002731DD">
              <w:rPr>
                <w:bCs/>
                <w:sz w:val="28"/>
                <w:szCs w:val="28"/>
              </w:rPr>
              <w:t xml:space="preserve">Городищенської </w:t>
            </w:r>
            <w:r w:rsidRPr="002731DD">
              <w:rPr>
                <w:bCs/>
                <w:sz w:val="28"/>
                <w:szCs w:val="28"/>
              </w:rPr>
              <w:t>сільської ради,</w:t>
            </w:r>
            <w:r w:rsidRPr="002731DD">
              <w:rPr>
                <w:sz w:val="28"/>
                <w:szCs w:val="28"/>
                <w:bdr w:val="none" w:sz="0" w:space="0" w:color="auto" w:frame="1"/>
              </w:rPr>
              <w:t xml:space="preserve"> надходження від юридичних та фізичних осіб, інших джерел, не заборонених законодавством</w:t>
            </w:r>
          </w:p>
        </w:tc>
      </w:tr>
      <w:tr w:rsidR="00B52192" w:rsidRPr="002731DD" w:rsidTr="00A20569">
        <w:tc>
          <w:tcPr>
            <w:tcW w:w="828" w:type="dxa"/>
            <w:shd w:val="clear" w:color="auto" w:fill="auto"/>
          </w:tcPr>
          <w:p w:rsidR="00B52192" w:rsidRPr="002731DD" w:rsidRDefault="00B52192" w:rsidP="00A20569">
            <w:pPr>
              <w:jc w:val="center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B52192" w:rsidRPr="002731DD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2731DD">
              <w:rPr>
                <w:sz w:val="28"/>
                <w:szCs w:val="28"/>
              </w:rPr>
              <w:t xml:space="preserve">Орієнтовний загальний обсяг фінансових ресурсів, необхідних </w:t>
            </w:r>
            <w:proofErr w:type="gramStart"/>
            <w:r w:rsidRPr="002731DD">
              <w:rPr>
                <w:sz w:val="28"/>
                <w:szCs w:val="28"/>
              </w:rPr>
              <w:t>для</w:t>
            </w:r>
            <w:proofErr w:type="gramEnd"/>
            <w:r w:rsidRPr="002731DD">
              <w:rPr>
                <w:sz w:val="28"/>
                <w:szCs w:val="28"/>
              </w:rPr>
              <w:t xml:space="preserve"> реалізації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2731DD" w:rsidRDefault="00E43ED1" w:rsidP="00E43ED1">
            <w:pPr>
              <w:jc w:val="center"/>
              <w:rPr>
                <w:b/>
                <w:sz w:val="28"/>
                <w:szCs w:val="28"/>
              </w:rPr>
            </w:pPr>
            <w:r w:rsidRPr="004412C9">
              <w:rPr>
                <w:b/>
                <w:sz w:val="28"/>
                <w:szCs w:val="28"/>
              </w:rPr>
              <w:t>170</w:t>
            </w:r>
            <w:r w:rsidR="00B52192" w:rsidRPr="004412C9">
              <w:rPr>
                <w:b/>
                <w:sz w:val="28"/>
                <w:szCs w:val="28"/>
              </w:rPr>
              <w:t>тис. грн.</w:t>
            </w:r>
          </w:p>
        </w:tc>
      </w:tr>
    </w:tbl>
    <w:p w:rsidR="00B52192" w:rsidRPr="002731DD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B52192" w:rsidRPr="002731DD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B52192" w:rsidRPr="002731DD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B52192" w:rsidRPr="002731DD" w:rsidRDefault="00B52192" w:rsidP="00B52192">
      <w:pPr>
        <w:rPr>
          <w:sz w:val="28"/>
          <w:szCs w:val="28"/>
        </w:rPr>
      </w:pPr>
      <w:r w:rsidRPr="002731DD">
        <w:rPr>
          <w:sz w:val="28"/>
          <w:szCs w:val="28"/>
        </w:rPr>
        <w:br w:type="page"/>
      </w:r>
    </w:p>
    <w:p w:rsidR="00B52192" w:rsidRPr="002731DD" w:rsidRDefault="00B52192" w:rsidP="00B52192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2731DD">
        <w:rPr>
          <w:b/>
          <w:bCs/>
          <w:sz w:val="28"/>
          <w:szCs w:val="28"/>
        </w:rPr>
        <w:lastRenderedPageBreak/>
        <w:t>ПРОГРАМА   </w:t>
      </w:r>
    </w:p>
    <w:p w:rsidR="00B52192" w:rsidRPr="002731DD" w:rsidRDefault="00B52192" w:rsidP="00B5219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„</w:t>
      </w:r>
      <w:r w:rsidR="009C5C75" w:rsidRPr="002731DD">
        <w:rPr>
          <w:sz w:val="28"/>
          <w:szCs w:val="28"/>
        </w:rPr>
        <w:t xml:space="preserve"> </w:t>
      </w:r>
      <w:r w:rsidRPr="002731DD">
        <w:rPr>
          <w:b/>
          <w:bCs/>
          <w:sz w:val="28"/>
          <w:szCs w:val="28"/>
        </w:rPr>
        <w:t>Поліцейський офіцер громади”  на 20</w:t>
      </w:r>
      <w:r w:rsidR="00452FAC">
        <w:rPr>
          <w:b/>
          <w:bCs/>
          <w:sz w:val="28"/>
          <w:szCs w:val="28"/>
        </w:rPr>
        <w:t>22</w:t>
      </w:r>
      <w:r w:rsidRPr="002731DD">
        <w:rPr>
          <w:b/>
          <w:bCs/>
          <w:sz w:val="28"/>
          <w:szCs w:val="28"/>
        </w:rPr>
        <w:t>-202</w:t>
      </w:r>
      <w:r w:rsidR="00452FAC">
        <w:rPr>
          <w:b/>
          <w:bCs/>
          <w:sz w:val="28"/>
          <w:szCs w:val="28"/>
        </w:rPr>
        <w:t>3</w:t>
      </w:r>
      <w:r w:rsidRPr="002731DD">
        <w:rPr>
          <w:b/>
          <w:bCs/>
          <w:sz w:val="28"/>
          <w:szCs w:val="28"/>
        </w:rPr>
        <w:t xml:space="preserve">  роки</w:t>
      </w:r>
    </w:p>
    <w:p w:rsidR="00B52192" w:rsidRPr="002731DD" w:rsidRDefault="00B52192" w:rsidP="00B52192">
      <w:pPr>
        <w:shd w:val="clear" w:color="auto" w:fill="FFFFFF"/>
        <w:spacing w:after="225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 </w:t>
      </w:r>
    </w:p>
    <w:p w:rsidR="00B52192" w:rsidRPr="002731DD" w:rsidRDefault="00B52192" w:rsidP="007D3DB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731DD">
        <w:rPr>
          <w:b/>
          <w:bCs/>
          <w:sz w:val="28"/>
          <w:szCs w:val="28"/>
        </w:rPr>
        <w:t>І. Загальні положення</w:t>
      </w:r>
    </w:p>
    <w:p w:rsidR="00B52192" w:rsidRPr="002731DD" w:rsidRDefault="00B52192" w:rsidP="007D3DB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bCs/>
          <w:sz w:val="28"/>
          <w:szCs w:val="28"/>
        </w:rPr>
        <w:t xml:space="preserve">    ПРОГРАМА </w:t>
      </w:r>
      <w:r w:rsidR="00452FAC">
        <w:rPr>
          <w:sz w:val="28"/>
          <w:szCs w:val="28"/>
        </w:rPr>
        <w:t>«</w:t>
      </w:r>
      <w:r w:rsidR="009C5C75" w:rsidRPr="002731DD">
        <w:rPr>
          <w:sz w:val="28"/>
          <w:szCs w:val="28"/>
        </w:rPr>
        <w:t xml:space="preserve"> </w:t>
      </w:r>
      <w:r w:rsidR="00452FAC">
        <w:rPr>
          <w:bCs/>
          <w:sz w:val="28"/>
          <w:szCs w:val="28"/>
        </w:rPr>
        <w:t>Поліцейський офіцер громади»</w:t>
      </w:r>
      <w:r w:rsidRPr="002731DD">
        <w:rPr>
          <w:bCs/>
          <w:sz w:val="28"/>
          <w:szCs w:val="28"/>
        </w:rPr>
        <w:t xml:space="preserve">  на </w:t>
      </w:r>
      <w:r w:rsidR="00452FAC" w:rsidRPr="002731DD">
        <w:rPr>
          <w:b/>
          <w:bCs/>
          <w:sz w:val="28"/>
          <w:szCs w:val="28"/>
        </w:rPr>
        <w:t>20</w:t>
      </w:r>
      <w:r w:rsidR="00452FAC">
        <w:rPr>
          <w:b/>
          <w:bCs/>
          <w:sz w:val="28"/>
          <w:szCs w:val="28"/>
        </w:rPr>
        <w:t>22</w:t>
      </w:r>
      <w:r w:rsidR="00452FAC" w:rsidRPr="002731DD">
        <w:rPr>
          <w:b/>
          <w:bCs/>
          <w:sz w:val="28"/>
          <w:szCs w:val="28"/>
        </w:rPr>
        <w:t>-202</w:t>
      </w:r>
      <w:r w:rsidR="00452FAC">
        <w:rPr>
          <w:b/>
          <w:bCs/>
          <w:sz w:val="28"/>
          <w:szCs w:val="28"/>
        </w:rPr>
        <w:t>3</w:t>
      </w:r>
      <w:r w:rsidR="00452FAC" w:rsidRPr="002731DD">
        <w:rPr>
          <w:b/>
          <w:bCs/>
          <w:sz w:val="28"/>
          <w:szCs w:val="28"/>
        </w:rPr>
        <w:t xml:space="preserve">  </w:t>
      </w:r>
      <w:r w:rsidRPr="002731DD">
        <w:rPr>
          <w:bCs/>
          <w:sz w:val="28"/>
          <w:szCs w:val="28"/>
        </w:rPr>
        <w:t>роки</w:t>
      </w:r>
      <w:r w:rsidRPr="002731DD">
        <w:rPr>
          <w:sz w:val="28"/>
          <w:szCs w:val="28"/>
        </w:rPr>
        <w:t xml:space="preserve"> (далі-Програма) розроблена відповідно до Законів України „</w:t>
      </w:r>
      <w:r w:rsidR="009C5C75" w:rsidRPr="002731DD">
        <w:rPr>
          <w:sz w:val="28"/>
          <w:szCs w:val="28"/>
        </w:rPr>
        <w:t xml:space="preserve"> </w:t>
      </w:r>
      <w:r w:rsidRPr="002731DD">
        <w:rPr>
          <w:sz w:val="28"/>
          <w:szCs w:val="28"/>
        </w:rPr>
        <w:t>Про національну поліцію”, “Про місцеве самоврядування”,  Указу Президента „</w:t>
      </w:r>
      <w:r w:rsidR="009C5C75" w:rsidRPr="002731DD">
        <w:rPr>
          <w:sz w:val="28"/>
          <w:szCs w:val="28"/>
        </w:rPr>
        <w:t xml:space="preserve"> </w:t>
      </w:r>
      <w:r w:rsidRPr="002731DD">
        <w:rPr>
          <w:sz w:val="28"/>
          <w:szCs w:val="28"/>
        </w:rPr>
        <w:t>Про заходи щодо забезпечення особистої безпеки громадян та протидії злочинності” 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посягань.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В основу реалізації Програми покладено принцип об’єднання зусиль органів місцевого самоврядування та правоохоронних органів для забезпечення охорони громадського порядку та профілактики злочинності в селах </w:t>
      </w:r>
      <w:r w:rsidR="00457DB0" w:rsidRPr="002731DD">
        <w:rPr>
          <w:sz w:val="28"/>
          <w:szCs w:val="28"/>
        </w:rPr>
        <w:t>Городищенської</w:t>
      </w:r>
      <w:r w:rsidRPr="002731DD">
        <w:rPr>
          <w:sz w:val="28"/>
          <w:szCs w:val="28"/>
        </w:rPr>
        <w:t xml:space="preserve"> громади</w:t>
      </w:r>
      <w:r w:rsidR="007D3DBC">
        <w:rPr>
          <w:sz w:val="28"/>
          <w:szCs w:val="28"/>
        </w:rPr>
        <w:t>.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  На </w:t>
      </w:r>
      <w:r w:rsidR="00457DB0" w:rsidRPr="002731DD">
        <w:rPr>
          <w:sz w:val="28"/>
          <w:szCs w:val="28"/>
        </w:rPr>
        <w:t>Городищенську</w:t>
      </w:r>
      <w:r w:rsidRPr="002731DD">
        <w:rPr>
          <w:sz w:val="28"/>
          <w:szCs w:val="28"/>
        </w:rPr>
        <w:t xml:space="preserve"> сільську  територіальну громаду передбачається 1 поліцейський офіцер</w:t>
      </w:r>
      <w:r w:rsidR="007D3DBC">
        <w:rPr>
          <w:sz w:val="28"/>
          <w:szCs w:val="28"/>
        </w:rPr>
        <w:t>.</w:t>
      </w:r>
      <w:r w:rsidRPr="002731DD">
        <w:rPr>
          <w:sz w:val="28"/>
          <w:szCs w:val="28"/>
        </w:rPr>
        <w:t xml:space="preserve">                              </w:t>
      </w:r>
    </w:p>
    <w:p w:rsidR="00B52192" w:rsidRPr="002731DD" w:rsidRDefault="00B52192" w:rsidP="007D3DB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731DD">
        <w:rPr>
          <w:b/>
          <w:bCs/>
          <w:sz w:val="28"/>
          <w:szCs w:val="28"/>
        </w:rPr>
        <w:t>ІІ. Мета і завдання програми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  Мета Програми полягає у підвищенні рівня публічної безпеки і порядку, охорони прав і свобод людини та протидії злочинності на території </w:t>
      </w:r>
      <w:r w:rsidR="00457DB0" w:rsidRPr="002731DD">
        <w:rPr>
          <w:sz w:val="28"/>
          <w:szCs w:val="28"/>
        </w:rPr>
        <w:t xml:space="preserve">Городищенської </w:t>
      </w:r>
      <w:r w:rsidR="00452FAC">
        <w:rPr>
          <w:sz w:val="28"/>
          <w:szCs w:val="28"/>
        </w:rPr>
        <w:t>сільської ради</w:t>
      </w:r>
      <w:r w:rsidRPr="002731DD">
        <w:rPr>
          <w:sz w:val="28"/>
          <w:szCs w:val="28"/>
        </w:rPr>
        <w:t xml:space="preserve">. Забезпечення ефективної підтримки місцевим органом виконавчої влади, органом місцевого самоврядування та населенням діяльності органів внутрішніх справ на території </w:t>
      </w:r>
      <w:r w:rsidR="00457DB0" w:rsidRPr="002731DD">
        <w:rPr>
          <w:sz w:val="28"/>
          <w:szCs w:val="28"/>
        </w:rPr>
        <w:t>Городищенської</w:t>
      </w:r>
      <w:r w:rsidRPr="002731DD">
        <w:rPr>
          <w:sz w:val="28"/>
          <w:szCs w:val="28"/>
        </w:rPr>
        <w:t xml:space="preserve"> </w:t>
      </w:r>
      <w:r w:rsidR="00452FAC">
        <w:rPr>
          <w:sz w:val="28"/>
          <w:szCs w:val="28"/>
        </w:rPr>
        <w:t>сільської ради</w:t>
      </w:r>
      <w:r w:rsidRPr="002731DD">
        <w:rPr>
          <w:sz w:val="28"/>
          <w:szCs w:val="28"/>
        </w:rPr>
        <w:t xml:space="preserve"> спрямована на підвищення загального рівня правопорядку в селах, захист життя, здоров’я, честі і гідності населення, цілодобову охорону громадського порядку в селах, профілактичну роботу по попередженню злочинності та забезпеченні комплексного підходу до розв’язання проблем, п</w:t>
      </w:r>
      <w:r w:rsidR="00452FAC">
        <w:rPr>
          <w:sz w:val="28"/>
          <w:szCs w:val="28"/>
        </w:rPr>
        <w:t>ов’язаних з питаннями безпеки на території сільської ради</w:t>
      </w:r>
      <w:r w:rsidRPr="002731DD">
        <w:rPr>
          <w:sz w:val="28"/>
          <w:szCs w:val="28"/>
        </w:rPr>
        <w:t>.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  Дана програма передбачає подальше посилення боротьби зі злочинністю, забезпечення громадського порядку, поліпшення профілактичної роботи, з метою забезпечення прав і свобод людини і громадянина, надання допомоги у  фінансовому і матеріально-технічному забезпеченні  юридичним особам, які  здійснюють повноваження в сфері  охорони громадського порядку та боротьби зі злочинністю</w:t>
      </w:r>
      <w:r w:rsidR="00452FAC">
        <w:rPr>
          <w:sz w:val="28"/>
          <w:szCs w:val="28"/>
        </w:rPr>
        <w:t>.</w:t>
      </w:r>
    </w:p>
    <w:p w:rsidR="00B52192" w:rsidRPr="002731DD" w:rsidRDefault="00B52192" w:rsidP="00B52192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Основними завданнями Програми є: </w:t>
      </w:r>
    </w:p>
    <w:p w:rsidR="007D3DBC" w:rsidRDefault="00B52192" w:rsidP="007D3DB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  Постійна співпраця поліцейського офіцера з громадою, інтеграція поліції в суспільство, задоволення безпекових потреб громадян, ефективне та консолідоване  вирішення локальних проблем громади та оцінка роботи поліції на основі дослідження рівня задоволеності громадян. Важливою складовою ефективної діяльності є його матеріально-технічне забезпечення. </w:t>
      </w:r>
    </w:p>
    <w:p w:rsidR="00B52192" w:rsidRPr="004412C9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412C9">
        <w:rPr>
          <w:rFonts w:ascii="Times New Roman" w:hAnsi="Times New Roman"/>
          <w:sz w:val="28"/>
          <w:szCs w:val="28"/>
          <w:lang w:val="uk-UA"/>
        </w:rPr>
        <w:t>Приміщення (ремонт, обладнання)</w:t>
      </w:r>
    </w:p>
    <w:p w:rsidR="00B52192" w:rsidRPr="004412C9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412C9">
        <w:rPr>
          <w:rFonts w:ascii="Times New Roman" w:hAnsi="Times New Roman"/>
          <w:sz w:val="28"/>
          <w:szCs w:val="28"/>
          <w:lang w:val="uk-UA"/>
        </w:rPr>
        <w:lastRenderedPageBreak/>
        <w:t>Меблі та офісна техніка</w:t>
      </w:r>
    </w:p>
    <w:p w:rsidR="00B52192" w:rsidRPr="004412C9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412C9">
        <w:rPr>
          <w:rFonts w:ascii="Times New Roman" w:hAnsi="Times New Roman"/>
          <w:sz w:val="28"/>
          <w:szCs w:val="28"/>
          <w:lang w:val="uk-UA"/>
        </w:rPr>
        <w:t>Канцелярські товари, доступ до мережі інтернет</w:t>
      </w:r>
    </w:p>
    <w:p w:rsidR="00B52192" w:rsidRPr="004412C9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412C9">
        <w:rPr>
          <w:rFonts w:ascii="Times New Roman" w:hAnsi="Times New Roman"/>
          <w:sz w:val="28"/>
          <w:szCs w:val="28"/>
          <w:lang w:val="uk-UA"/>
        </w:rPr>
        <w:t>Пально-мастильні матеріали (1</w:t>
      </w:r>
      <w:r w:rsidR="00457DB0" w:rsidRPr="004412C9">
        <w:rPr>
          <w:rFonts w:ascii="Times New Roman" w:hAnsi="Times New Roman"/>
          <w:sz w:val="28"/>
          <w:szCs w:val="28"/>
          <w:lang w:val="uk-UA"/>
        </w:rPr>
        <w:t>5</w:t>
      </w:r>
      <w:r w:rsidRPr="004412C9">
        <w:rPr>
          <w:rFonts w:ascii="Times New Roman" w:hAnsi="Times New Roman"/>
          <w:sz w:val="28"/>
          <w:szCs w:val="28"/>
          <w:lang w:val="uk-UA"/>
        </w:rPr>
        <w:t>0 л./міс)</w:t>
      </w:r>
    </w:p>
    <w:p w:rsidR="00B52192" w:rsidRPr="002731DD" w:rsidRDefault="00B52192" w:rsidP="007D3DB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731DD">
        <w:rPr>
          <w:b/>
          <w:bCs/>
          <w:sz w:val="28"/>
          <w:szCs w:val="28"/>
        </w:rPr>
        <w:t>ІІІ. Очікувані результати від виконання Програми</w:t>
      </w:r>
    </w:p>
    <w:p w:rsidR="00B52192" w:rsidRPr="002731DD" w:rsidRDefault="00B52192" w:rsidP="00B52192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Виконання Програми дасть змогу: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Попередження правопорушень шляхом створення таких умов, які є некомфортними та небезпечними для правопорушників</w:t>
      </w:r>
      <w:r w:rsidR="00452FAC">
        <w:rPr>
          <w:sz w:val="28"/>
          <w:szCs w:val="28"/>
        </w:rPr>
        <w:t>;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Застосування сучасних технологій для зниження кількості правопорушень (наприклад </w:t>
      </w:r>
      <w:r w:rsidR="009C5C75" w:rsidRPr="002731DD">
        <w:rPr>
          <w:sz w:val="28"/>
          <w:szCs w:val="28"/>
        </w:rPr>
        <w:t>відео нагляд</w:t>
      </w:r>
      <w:r w:rsidRPr="002731DD">
        <w:rPr>
          <w:sz w:val="28"/>
          <w:szCs w:val="28"/>
        </w:rPr>
        <w:t>)</w:t>
      </w:r>
      <w:r w:rsidR="00452FAC">
        <w:rPr>
          <w:sz w:val="28"/>
          <w:szCs w:val="28"/>
        </w:rPr>
        <w:t>;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</w:t>
      </w:r>
      <w:r w:rsidR="00452FAC">
        <w:rPr>
          <w:sz w:val="28"/>
          <w:szCs w:val="28"/>
        </w:rPr>
        <w:t>ію, проституцію, жебрацтво тощо;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Створення безпечного дорожнього середовища в громаді та протидії п</w:t>
      </w:r>
      <w:r w:rsidR="00452FAC">
        <w:rPr>
          <w:sz w:val="28"/>
          <w:szCs w:val="28"/>
        </w:rPr>
        <w:t>орушенням правил дорожнього рух;</w:t>
      </w:r>
      <w:r w:rsidRPr="002731DD">
        <w:rPr>
          <w:sz w:val="28"/>
          <w:szCs w:val="28"/>
        </w:rPr>
        <w:t>.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Допомо</w:t>
      </w:r>
      <w:r w:rsidR="00457DB0" w:rsidRPr="002731DD">
        <w:rPr>
          <w:sz w:val="28"/>
          <w:szCs w:val="28"/>
        </w:rPr>
        <w:t>га</w:t>
      </w:r>
      <w:r w:rsidRPr="002731DD">
        <w:rPr>
          <w:sz w:val="28"/>
          <w:szCs w:val="28"/>
        </w:rPr>
        <w:t xml:space="preserve"> людям похилого віку та попередженн</w:t>
      </w:r>
      <w:r w:rsidR="00643C06" w:rsidRPr="002731DD">
        <w:rPr>
          <w:sz w:val="28"/>
          <w:szCs w:val="28"/>
        </w:rPr>
        <w:t>я</w:t>
      </w:r>
      <w:r w:rsidRPr="002731DD">
        <w:rPr>
          <w:sz w:val="28"/>
          <w:szCs w:val="28"/>
        </w:rPr>
        <w:t xml:space="preserve"> правопорушень щодо них.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Створення маршрутів патрулювання з урахуванням громадської думки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Популяризація здорового способу життя</w:t>
      </w:r>
      <w:r w:rsidR="00452FAC">
        <w:rPr>
          <w:sz w:val="28"/>
          <w:szCs w:val="28"/>
        </w:rPr>
        <w:t>;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спортом, проведення систематичних змагань, інших 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</w:t>
      </w:r>
      <w:r w:rsidR="00452FAC">
        <w:rPr>
          <w:sz w:val="28"/>
          <w:szCs w:val="28"/>
        </w:rPr>
        <w:t>;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Профілактика правопорушень у сфері благоустрою</w:t>
      </w:r>
      <w:r w:rsidR="00452FAC">
        <w:rPr>
          <w:sz w:val="28"/>
          <w:szCs w:val="28"/>
        </w:rPr>
        <w:t>;</w:t>
      </w:r>
    </w:p>
    <w:p w:rsidR="00B52192" w:rsidRPr="002731DD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Протидія жо</w:t>
      </w:r>
      <w:r w:rsidR="00452FAC">
        <w:rPr>
          <w:sz w:val="28"/>
          <w:szCs w:val="28"/>
        </w:rPr>
        <w:t>рстокого поводження з тваринами;</w:t>
      </w:r>
    </w:p>
    <w:p w:rsidR="00B52192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Розшуку зниклих</w:t>
      </w:r>
      <w:r w:rsidR="00452FAC">
        <w:rPr>
          <w:sz w:val="28"/>
          <w:szCs w:val="28"/>
        </w:rPr>
        <w:t xml:space="preserve"> дітей, дорослих, які заблукали.</w:t>
      </w:r>
    </w:p>
    <w:p w:rsidR="007D3DBC" w:rsidRPr="002731DD" w:rsidRDefault="007D3DBC" w:rsidP="007D3DBC">
      <w:pPr>
        <w:shd w:val="clear" w:color="auto" w:fill="FFFFFF"/>
        <w:ind w:left="300"/>
        <w:jc w:val="both"/>
        <w:textAlignment w:val="baseline"/>
        <w:rPr>
          <w:sz w:val="28"/>
          <w:szCs w:val="28"/>
        </w:rPr>
      </w:pPr>
    </w:p>
    <w:p w:rsidR="00B52192" w:rsidRPr="002731DD" w:rsidRDefault="007D3DBC" w:rsidP="009C5C75">
      <w:pPr>
        <w:shd w:val="clear" w:color="auto" w:fill="FFFFFF"/>
        <w:ind w:left="30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D3DBC">
        <w:rPr>
          <w:b/>
          <w:bCs/>
          <w:sz w:val="28"/>
          <w:szCs w:val="28"/>
          <w:lang w:val="ru-RU"/>
        </w:rPr>
        <w:t>.</w:t>
      </w:r>
      <w:r w:rsidR="00B52192" w:rsidRPr="002731DD">
        <w:rPr>
          <w:b/>
          <w:bCs/>
          <w:sz w:val="28"/>
          <w:szCs w:val="28"/>
        </w:rPr>
        <w:t>Обсяги та джерела фінансування Програми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  Заходи програми виконуються посадовими особами органу місцевого самоврядування, працівниками відділу поліції спільно. 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:rsidR="00B52192" w:rsidRPr="004412C9" w:rsidRDefault="00B52192" w:rsidP="007D3DB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412C9">
        <w:rPr>
          <w:sz w:val="28"/>
          <w:szCs w:val="28"/>
        </w:rPr>
        <w:t>Для облаштування приміщення, придбання меблів та офісної техніки</w:t>
      </w:r>
      <w:r w:rsidR="007D3DBC" w:rsidRPr="004412C9">
        <w:rPr>
          <w:sz w:val="28"/>
          <w:szCs w:val="28"/>
          <w:lang w:val="ru-RU"/>
        </w:rPr>
        <w:t xml:space="preserve"> </w:t>
      </w:r>
      <w:r w:rsidRPr="004412C9">
        <w:rPr>
          <w:sz w:val="28"/>
          <w:szCs w:val="28"/>
        </w:rPr>
        <w:t>канцелярських товарів, доступу до мережі інтернет та пально-мастильних матеріалів необхідно передбачити в сільському   бюджеті кошти на придбання даних засобів.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> При необхідності фінансування додаткових заходів Програми  видатки можуть бути збільшені відповідно до потреб.</w:t>
      </w:r>
    </w:p>
    <w:p w:rsidR="00452FAC" w:rsidRDefault="00452FAC" w:rsidP="009C5C75">
      <w:pPr>
        <w:shd w:val="clear" w:color="auto" w:fill="FFFFFF"/>
        <w:spacing w:after="225"/>
        <w:jc w:val="center"/>
        <w:textAlignment w:val="baseline"/>
        <w:rPr>
          <w:sz w:val="28"/>
          <w:szCs w:val="28"/>
        </w:rPr>
      </w:pPr>
    </w:p>
    <w:p w:rsidR="00B52192" w:rsidRPr="002731DD" w:rsidRDefault="00B52192" w:rsidP="009C5C75">
      <w:pPr>
        <w:shd w:val="clear" w:color="auto" w:fill="FFFFFF"/>
        <w:spacing w:after="225"/>
        <w:jc w:val="center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lastRenderedPageBreak/>
        <w:t>БЮДЖЕТ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969"/>
        <w:gridCol w:w="3822"/>
      </w:tblGrid>
      <w:tr w:rsidR="002731DD" w:rsidRPr="002731DD" w:rsidTr="00A20569">
        <w:tc>
          <w:tcPr>
            <w:tcW w:w="1838" w:type="dxa"/>
          </w:tcPr>
          <w:p w:rsidR="00B52192" w:rsidRPr="002731DD" w:rsidRDefault="00B52192" w:rsidP="00A20569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B52192" w:rsidRPr="002731DD" w:rsidRDefault="00452FAC" w:rsidP="00A2056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Програму у 2022</w:t>
            </w:r>
            <w:r w:rsidR="00B52192" w:rsidRPr="002731DD">
              <w:rPr>
                <w:sz w:val="28"/>
              </w:rPr>
              <w:t xml:space="preserve"> році</w:t>
            </w:r>
          </w:p>
        </w:tc>
        <w:tc>
          <w:tcPr>
            <w:tcW w:w="3822" w:type="dxa"/>
          </w:tcPr>
          <w:p w:rsidR="00B52192" w:rsidRPr="002731DD" w:rsidRDefault="00B52192" w:rsidP="00E43ED1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на Програму у 202</w:t>
            </w:r>
            <w:r w:rsidR="00452FAC">
              <w:rPr>
                <w:sz w:val="28"/>
              </w:rPr>
              <w:t>3</w:t>
            </w:r>
            <w:r w:rsidRPr="002731DD">
              <w:rPr>
                <w:sz w:val="28"/>
              </w:rPr>
              <w:t xml:space="preserve"> році</w:t>
            </w:r>
          </w:p>
        </w:tc>
      </w:tr>
      <w:tr w:rsidR="002731DD" w:rsidRPr="002731DD" w:rsidTr="00A20569">
        <w:tc>
          <w:tcPr>
            <w:tcW w:w="1838" w:type="dxa"/>
          </w:tcPr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Бюджет сільської ради</w:t>
            </w:r>
          </w:p>
        </w:tc>
        <w:tc>
          <w:tcPr>
            <w:tcW w:w="3969" w:type="dxa"/>
          </w:tcPr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 xml:space="preserve"> - меблі;</w:t>
            </w:r>
          </w:p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 xml:space="preserve">- оргтехніка, </w:t>
            </w:r>
          </w:p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обладнання приміщення,</w:t>
            </w:r>
          </w:p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Канцтовари,</w:t>
            </w:r>
          </w:p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Паливо-мастильні матеріали,</w:t>
            </w:r>
          </w:p>
          <w:p w:rsidR="00B52192" w:rsidRPr="002731DD" w:rsidRDefault="00B52192" w:rsidP="00E43ED1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доступ до мережі інтернет</w:t>
            </w:r>
          </w:p>
        </w:tc>
        <w:tc>
          <w:tcPr>
            <w:tcW w:w="3822" w:type="dxa"/>
          </w:tcPr>
          <w:p w:rsidR="004412C9" w:rsidRPr="002731DD" w:rsidRDefault="004412C9" w:rsidP="004412C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меблі;</w:t>
            </w:r>
          </w:p>
          <w:p w:rsidR="004412C9" w:rsidRPr="002731DD" w:rsidRDefault="004412C9" w:rsidP="004412C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 xml:space="preserve">- оргтехніка, </w:t>
            </w:r>
          </w:p>
          <w:p w:rsidR="004412C9" w:rsidRPr="002731DD" w:rsidRDefault="004412C9" w:rsidP="004412C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обладнання приміщення,</w:t>
            </w:r>
          </w:p>
          <w:p w:rsidR="004412C9" w:rsidRPr="002731DD" w:rsidRDefault="004412C9" w:rsidP="004412C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- Канцтовари,</w:t>
            </w:r>
          </w:p>
          <w:p w:rsidR="004412C9" w:rsidRPr="002731DD" w:rsidRDefault="004412C9" w:rsidP="004412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731DD">
              <w:rPr>
                <w:sz w:val="28"/>
              </w:rPr>
              <w:t>Паливо-мастильні матеріали,</w:t>
            </w:r>
          </w:p>
          <w:p w:rsidR="00B52192" w:rsidRPr="002731DD" w:rsidRDefault="004412C9" w:rsidP="004412C9">
            <w:pPr>
              <w:rPr>
                <w:sz w:val="28"/>
              </w:rPr>
            </w:pPr>
            <w:r w:rsidRPr="002731DD">
              <w:rPr>
                <w:sz w:val="28"/>
              </w:rPr>
              <w:t>- доступ до мережі інтернет</w:t>
            </w:r>
          </w:p>
        </w:tc>
      </w:tr>
      <w:tr w:rsidR="00E43ED1" w:rsidRPr="002731DD" w:rsidTr="00A20569">
        <w:tc>
          <w:tcPr>
            <w:tcW w:w="1838" w:type="dxa"/>
          </w:tcPr>
          <w:p w:rsidR="00B52192" w:rsidRPr="002731DD" w:rsidRDefault="00B52192" w:rsidP="00A20569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>Всього:</w:t>
            </w:r>
          </w:p>
        </w:tc>
        <w:tc>
          <w:tcPr>
            <w:tcW w:w="3969" w:type="dxa"/>
          </w:tcPr>
          <w:p w:rsidR="00B52192" w:rsidRPr="002731DD" w:rsidRDefault="00B52192" w:rsidP="00E43ED1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 xml:space="preserve"> </w:t>
            </w:r>
            <w:r w:rsidR="00E43ED1" w:rsidRPr="002731DD">
              <w:rPr>
                <w:sz w:val="28"/>
              </w:rPr>
              <w:t>70</w:t>
            </w:r>
            <w:r w:rsidR="00B76718">
              <w:rPr>
                <w:sz w:val="28"/>
              </w:rPr>
              <w:t> </w:t>
            </w:r>
            <w:r w:rsidR="00E43ED1" w:rsidRPr="002731DD">
              <w:rPr>
                <w:sz w:val="28"/>
              </w:rPr>
              <w:t>000</w:t>
            </w:r>
            <w:r w:rsidR="00B76718">
              <w:rPr>
                <w:sz w:val="28"/>
              </w:rPr>
              <w:t xml:space="preserve"> </w:t>
            </w:r>
            <w:proofErr w:type="spellStart"/>
            <w:r w:rsidRPr="002731DD">
              <w:rPr>
                <w:sz w:val="28"/>
              </w:rPr>
              <w:t>грн</w:t>
            </w:r>
            <w:proofErr w:type="spellEnd"/>
          </w:p>
        </w:tc>
        <w:tc>
          <w:tcPr>
            <w:tcW w:w="3822" w:type="dxa"/>
          </w:tcPr>
          <w:p w:rsidR="00B52192" w:rsidRPr="002731DD" w:rsidRDefault="00B52192" w:rsidP="00E43ED1">
            <w:pPr>
              <w:jc w:val="both"/>
              <w:rPr>
                <w:sz w:val="28"/>
              </w:rPr>
            </w:pPr>
            <w:r w:rsidRPr="002731DD">
              <w:rPr>
                <w:sz w:val="28"/>
              </w:rPr>
              <w:t xml:space="preserve"> </w:t>
            </w:r>
            <w:r w:rsidR="00E43ED1" w:rsidRPr="002731DD">
              <w:rPr>
                <w:sz w:val="28"/>
              </w:rPr>
              <w:t>100</w:t>
            </w:r>
            <w:r w:rsidR="00B76718">
              <w:rPr>
                <w:sz w:val="28"/>
              </w:rPr>
              <w:t> </w:t>
            </w:r>
            <w:r w:rsidR="00E43ED1" w:rsidRPr="002731DD">
              <w:rPr>
                <w:sz w:val="28"/>
              </w:rPr>
              <w:t>000</w:t>
            </w:r>
            <w:r w:rsidR="00B76718">
              <w:rPr>
                <w:sz w:val="28"/>
              </w:rPr>
              <w:t xml:space="preserve"> </w:t>
            </w:r>
            <w:proofErr w:type="spellStart"/>
            <w:r w:rsidRPr="002731DD">
              <w:rPr>
                <w:sz w:val="28"/>
              </w:rPr>
              <w:t>грн</w:t>
            </w:r>
            <w:proofErr w:type="spellEnd"/>
          </w:p>
        </w:tc>
      </w:tr>
    </w:tbl>
    <w:p w:rsidR="00B52192" w:rsidRPr="002731DD" w:rsidRDefault="00B52192" w:rsidP="00B52192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</w:p>
    <w:p w:rsidR="00B52192" w:rsidRPr="002731DD" w:rsidRDefault="00B52192" w:rsidP="007D3DB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731DD">
        <w:rPr>
          <w:b/>
          <w:bCs/>
          <w:sz w:val="28"/>
          <w:szCs w:val="28"/>
        </w:rPr>
        <w:t>VІ. Система управління та контролю ходу виконання Програми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   Координація та контроль виконання заходів Програми здійснюється </w:t>
      </w:r>
      <w:r w:rsidR="00643C06" w:rsidRPr="002731DD">
        <w:rPr>
          <w:sz w:val="28"/>
          <w:szCs w:val="28"/>
        </w:rPr>
        <w:t>Городищенською</w:t>
      </w:r>
      <w:r w:rsidRPr="002731DD">
        <w:rPr>
          <w:sz w:val="28"/>
          <w:szCs w:val="28"/>
        </w:rPr>
        <w:t xml:space="preserve"> сільською  радою. Управління бюджетними коштами здійснює розпорядник коштів.</w:t>
      </w:r>
    </w:p>
    <w:p w:rsidR="00B52192" w:rsidRPr="002731DD" w:rsidRDefault="00B52192" w:rsidP="007D3DBC">
      <w:pPr>
        <w:shd w:val="clear" w:color="auto" w:fill="FFFFFF"/>
        <w:spacing w:after="225"/>
        <w:ind w:firstLine="567"/>
        <w:jc w:val="both"/>
        <w:textAlignment w:val="baseline"/>
        <w:rPr>
          <w:sz w:val="28"/>
          <w:szCs w:val="28"/>
        </w:rPr>
      </w:pPr>
      <w:r w:rsidRPr="002731DD">
        <w:rPr>
          <w:sz w:val="28"/>
          <w:szCs w:val="28"/>
        </w:rPr>
        <w:t xml:space="preserve">Учасники Програми – </w:t>
      </w:r>
      <w:r w:rsidR="00643C06" w:rsidRPr="002731DD">
        <w:rPr>
          <w:sz w:val="28"/>
          <w:szCs w:val="28"/>
        </w:rPr>
        <w:t xml:space="preserve">Городищенська </w:t>
      </w:r>
      <w:r w:rsidRPr="002731DD">
        <w:rPr>
          <w:sz w:val="28"/>
          <w:szCs w:val="28"/>
        </w:rPr>
        <w:t>сільська рада,  виконавчий комітет сільської ради,</w:t>
      </w:r>
      <w:r w:rsidR="007D3DBC" w:rsidRPr="007D3DBC">
        <w:rPr>
          <w:sz w:val="28"/>
          <w:szCs w:val="28"/>
        </w:rPr>
        <w:t xml:space="preserve"> </w:t>
      </w:r>
      <w:r w:rsidRPr="002731DD">
        <w:rPr>
          <w:sz w:val="28"/>
          <w:szCs w:val="28"/>
        </w:rPr>
        <w:t>представники правоохоронних органів, профільних підприємств, які здійснюють діяльність у сфері охорони безпеки, громадські організації звітуються про виконання Програми та витрачання коштів на її фінансування не рідше одного разу на рік.</w:t>
      </w:r>
    </w:p>
    <w:p w:rsidR="00B52192" w:rsidRPr="002731DD" w:rsidRDefault="00B52192" w:rsidP="00B52192">
      <w:pPr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</w:p>
    <w:p w:rsidR="00B52192" w:rsidRPr="006D6EE0" w:rsidRDefault="00B52192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Pr="006D6EE0" w:rsidRDefault="007D3DBC" w:rsidP="00B52192"/>
    <w:p w:rsidR="007D3DBC" w:rsidRDefault="007D3DBC" w:rsidP="00B52192"/>
    <w:p w:rsidR="00A36419" w:rsidRDefault="00A36419" w:rsidP="00B52192"/>
    <w:p w:rsidR="00A36419" w:rsidRDefault="00A36419" w:rsidP="00B52192"/>
    <w:p w:rsidR="00A36419" w:rsidRDefault="00A36419" w:rsidP="00B52192"/>
    <w:p w:rsidR="00A36419" w:rsidRDefault="00A36419" w:rsidP="00B52192"/>
    <w:p w:rsidR="00A36419" w:rsidRPr="006D6EE0" w:rsidRDefault="00A36419" w:rsidP="00B52192"/>
    <w:p w:rsidR="007D3DBC" w:rsidRPr="006D6EE0" w:rsidRDefault="007D3DBC" w:rsidP="00B52192"/>
    <w:p w:rsidR="007D3DBC" w:rsidRPr="009E02F5" w:rsidRDefault="00A36419" w:rsidP="007D3DBC">
      <w:pPr>
        <w:pStyle w:val="a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7D3DBC" w:rsidRPr="009E02F5" w:rsidRDefault="007D3DBC" w:rsidP="007D3DBC">
      <w:pPr>
        <w:pStyle w:val="a9"/>
        <w:jc w:val="center"/>
        <w:rPr>
          <w:b/>
          <w:sz w:val="28"/>
          <w:szCs w:val="28"/>
          <w:lang w:val="uk-UA"/>
        </w:rPr>
      </w:pPr>
    </w:p>
    <w:p w:rsidR="007D3DBC" w:rsidRPr="009E02F5" w:rsidRDefault="007D3DBC" w:rsidP="007D3DBC">
      <w:pPr>
        <w:pStyle w:val="a9"/>
        <w:jc w:val="center"/>
        <w:rPr>
          <w:b/>
          <w:sz w:val="28"/>
          <w:szCs w:val="28"/>
          <w:lang w:val="uk-UA"/>
        </w:rPr>
      </w:pPr>
      <w:r w:rsidRPr="009E02F5">
        <w:rPr>
          <w:b/>
          <w:sz w:val="28"/>
          <w:szCs w:val="28"/>
          <w:lang w:val="uk-UA"/>
        </w:rPr>
        <w:t>Перелік</w:t>
      </w:r>
    </w:p>
    <w:p w:rsidR="007D3DBC" w:rsidRPr="009E02F5" w:rsidRDefault="007D3DBC" w:rsidP="007D3DBC">
      <w:pPr>
        <w:pStyle w:val="a9"/>
        <w:jc w:val="center"/>
        <w:rPr>
          <w:b/>
          <w:sz w:val="28"/>
          <w:szCs w:val="28"/>
          <w:lang w:val="uk-UA"/>
        </w:rPr>
      </w:pPr>
      <w:r w:rsidRPr="009E02F5">
        <w:rPr>
          <w:b/>
          <w:sz w:val="28"/>
          <w:szCs w:val="28"/>
          <w:lang w:val="uk-UA"/>
        </w:rPr>
        <w:t xml:space="preserve">завдань і заходів </w:t>
      </w:r>
      <w:r w:rsidRPr="009E02F5">
        <w:rPr>
          <w:b/>
          <w:spacing w:val="2"/>
          <w:sz w:val="28"/>
          <w:szCs w:val="28"/>
          <w:lang w:val="uk-UA"/>
        </w:rPr>
        <w:t xml:space="preserve">Програми </w:t>
      </w:r>
      <w:r w:rsidRPr="009E02F5">
        <w:rPr>
          <w:b/>
          <w:sz w:val="28"/>
          <w:szCs w:val="28"/>
          <w:lang w:val="uk-UA"/>
        </w:rPr>
        <w:t>забезпечення громадського порядку</w:t>
      </w:r>
    </w:p>
    <w:p w:rsidR="00A36419" w:rsidRDefault="007D3DBC" w:rsidP="007D3DBC">
      <w:pPr>
        <w:pStyle w:val="a9"/>
        <w:jc w:val="center"/>
        <w:rPr>
          <w:b/>
          <w:sz w:val="28"/>
          <w:szCs w:val="28"/>
          <w:lang w:val="uk-UA"/>
        </w:rPr>
      </w:pPr>
      <w:r w:rsidRPr="009E02F5">
        <w:rPr>
          <w:b/>
          <w:sz w:val="28"/>
          <w:szCs w:val="28"/>
          <w:lang w:val="uk-UA"/>
        </w:rPr>
        <w:t xml:space="preserve">та громадської безпеки на території  </w:t>
      </w:r>
      <w:r>
        <w:rPr>
          <w:b/>
          <w:sz w:val="28"/>
          <w:szCs w:val="28"/>
          <w:lang w:val="uk-UA"/>
        </w:rPr>
        <w:t>Го</w:t>
      </w:r>
      <w:r w:rsidR="00A36419">
        <w:rPr>
          <w:b/>
          <w:sz w:val="28"/>
          <w:szCs w:val="28"/>
          <w:lang w:val="uk-UA"/>
        </w:rPr>
        <w:t xml:space="preserve">родищенської сільської ради </w:t>
      </w:r>
    </w:p>
    <w:p w:rsidR="007D3DBC" w:rsidRPr="009E02F5" w:rsidRDefault="00A36419" w:rsidP="007D3DBC">
      <w:pPr>
        <w:pStyle w:val="a9"/>
        <w:jc w:val="center"/>
        <w:rPr>
          <w:b/>
          <w:sz w:val="28"/>
          <w:szCs w:val="28"/>
          <w:lang w:val="uk-UA"/>
        </w:rPr>
      </w:pPr>
      <w:r w:rsidRPr="002731D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2731D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2731DD">
        <w:rPr>
          <w:b/>
          <w:bCs/>
          <w:sz w:val="28"/>
          <w:szCs w:val="28"/>
        </w:rPr>
        <w:t xml:space="preserve">  </w:t>
      </w:r>
      <w:r w:rsidR="007D3DBC" w:rsidRPr="009E02F5">
        <w:rPr>
          <w:b/>
          <w:sz w:val="28"/>
          <w:szCs w:val="28"/>
          <w:lang w:val="uk-UA"/>
        </w:rPr>
        <w:t>р</w:t>
      </w:r>
      <w:r w:rsidR="00B76718">
        <w:rPr>
          <w:b/>
          <w:sz w:val="28"/>
          <w:szCs w:val="28"/>
          <w:lang w:val="uk-UA"/>
        </w:rPr>
        <w:t>оки</w:t>
      </w:r>
      <w:r w:rsidR="007D3DBC" w:rsidRPr="009E02F5">
        <w:rPr>
          <w:b/>
          <w:sz w:val="28"/>
          <w:szCs w:val="28"/>
          <w:lang w:val="uk-UA"/>
        </w:rPr>
        <w:t xml:space="preserve">. </w:t>
      </w:r>
    </w:p>
    <w:p w:rsidR="007D3DBC" w:rsidRPr="009E02F5" w:rsidRDefault="007D3DBC" w:rsidP="007D3DBC">
      <w:pPr>
        <w:pStyle w:val="a9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134"/>
        <w:gridCol w:w="993"/>
        <w:gridCol w:w="708"/>
        <w:gridCol w:w="709"/>
        <w:gridCol w:w="2410"/>
      </w:tblGrid>
      <w:tr w:rsidR="007D3DBC" w:rsidRPr="009E02F5" w:rsidTr="007D3DBC">
        <w:trPr>
          <w:trHeight w:val="322"/>
        </w:trPr>
        <w:tc>
          <w:tcPr>
            <w:tcW w:w="2127" w:type="dxa"/>
            <w:vMerge w:val="restart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276" w:type="dxa"/>
            <w:vMerge w:val="restart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275" w:type="dxa"/>
            <w:vMerge w:val="restart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Відповідальні  за виконання</w:t>
            </w:r>
          </w:p>
        </w:tc>
        <w:tc>
          <w:tcPr>
            <w:tcW w:w="1134" w:type="dxa"/>
            <w:vMerge w:val="restart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844A5A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4820" w:type="dxa"/>
            <w:gridSpan w:val="4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Очікуваний результат від виконання заходу</w:t>
            </w:r>
          </w:p>
        </w:tc>
      </w:tr>
      <w:tr w:rsidR="007D3DBC" w:rsidRPr="009E02F5" w:rsidTr="007D3DBC">
        <w:trPr>
          <w:trHeight w:val="657"/>
        </w:trPr>
        <w:tc>
          <w:tcPr>
            <w:tcW w:w="2127" w:type="dxa"/>
            <w:vMerge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08" w:type="dxa"/>
          </w:tcPr>
          <w:p w:rsidR="007D3DBC" w:rsidRPr="00844A5A" w:rsidRDefault="00A36419" w:rsidP="00FE01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09" w:type="dxa"/>
          </w:tcPr>
          <w:p w:rsidR="007D3DBC" w:rsidRPr="00844A5A" w:rsidRDefault="00A36419" w:rsidP="00FE01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410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</w:p>
        </w:tc>
      </w:tr>
      <w:tr w:rsidR="007D3DBC" w:rsidRPr="009E02F5" w:rsidTr="007D3DBC">
        <w:trPr>
          <w:trHeight w:val="184"/>
        </w:trPr>
        <w:tc>
          <w:tcPr>
            <w:tcW w:w="2127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7D3DBC" w:rsidRPr="00844A5A" w:rsidRDefault="007D3DBC" w:rsidP="00FE012F">
            <w:pPr>
              <w:jc w:val="center"/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7D3DBC" w:rsidRPr="00844A5A" w:rsidRDefault="00E92CE1" w:rsidP="00FE01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D3DBC" w:rsidRPr="009E02F5" w:rsidTr="007D3DBC">
        <w:trPr>
          <w:trHeight w:val="3074"/>
        </w:trPr>
        <w:tc>
          <w:tcPr>
            <w:tcW w:w="2127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</w:tc>
        <w:tc>
          <w:tcPr>
            <w:tcW w:w="1276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Придбання оргтехніки. 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громадян, у громадському транспорті.</w:t>
            </w:r>
          </w:p>
        </w:tc>
        <w:tc>
          <w:tcPr>
            <w:tcW w:w="1275" w:type="dxa"/>
          </w:tcPr>
          <w:p w:rsidR="007D3DBC" w:rsidRPr="00844A5A" w:rsidRDefault="007D3DBC" w:rsidP="007D3D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Городищенська</w:t>
            </w:r>
            <w:r w:rsidRPr="00844A5A">
              <w:rPr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134" w:type="dxa"/>
          </w:tcPr>
          <w:p w:rsidR="007D3DBC" w:rsidRPr="00844A5A" w:rsidRDefault="007D3DBC" w:rsidP="007D3DBC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Бюджет ТГ</w:t>
            </w:r>
          </w:p>
        </w:tc>
        <w:tc>
          <w:tcPr>
            <w:tcW w:w="993" w:type="dxa"/>
          </w:tcPr>
          <w:p w:rsidR="007D3DBC" w:rsidRPr="004412C9" w:rsidRDefault="004412C9" w:rsidP="00FE012F">
            <w:pPr>
              <w:rPr>
                <w:sz w:val="24"/>
                <w:szCs w:val="24"/>
                <w:lang w:val="uk-UA"/>
              </w:rPr>
            </w:pPr>
            <w:r w:rsidRPr="004412C9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708" w:type="dxa"/>
          </w:tcPr>
          <w:p w:rsidR="007D3DBC" w:rsidRPr="004412C9" w:rsidRDefault="004412C9" w:rsidP="00FE012F">
            <w:pPr>
              <w:rPr>
                <w:sz w:val="24"/>
                <w:szCs w:val="24"/>
                <w:lang w:val="uk-UA"/>
              </w:rPr>
            </w:pPr>
            <w:r w:rsidRPr="004412C9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709" w:type="dxa"/>
          </w:tcPr>
          <w:p w:rsidR="007D3DBC" w:rsidRPr="004412C9" w:rsidRDefault="004412C9" w:rsidP="00FE012F">
            <w:pPr>
              <w:rPr>
                <w:sz w:val="24"/>
                <w:szCs w:val="24"/>
                <w:lang w:val="uk-UA"/>
              </w:rPr>
            </w:pPr>
            <w:r w:rsidRPr="004412C9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2410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7D3DBC" w:rsidRPr="009E02F5" w:rsidTr="007D3DBC">
        <w:tc>
          <w:tcPr>
            <w:tcW w:w="2127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 xml:space="preserve"> Інформаційно-аналітичне та матеріально-технічне забезпечення </w:t>
            </w:r>
            <w:r w:rsidRPr="00844A5A">
              <w:rPr>
                <w:sz w:val="24"/>
                <w:szCs w:val="24"/>
                <w:lang w:val="uk-UA"/>
              </w:rPr>
              <w:lastRenderedPageBreak/>
              <w:t>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lastRenderedPageBreak/>
              <w:t>Придбання паливо-мастильних матеріалі</w:t>
            </w:r>
            <w:r w:rsidRPr="00844A5A">
              <w:rPr>
                <w:sz w:val="24"/>
                <w:szCs w:val="24"/>
                <w:lang w:val="uk-UA"/>
              </w:rPr>
              <w:lastRenderedPageBreak/>
              <w:t>в, канцелярських товарів, оплата послуг за інтернет, оплата за оренду приміщення та енергоносії</w:t>
            </w:r>
          </w:p>
        </w:tc>
        <w:tc>
          <w:tcPr>
            <w:tcW w:w="1275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Городищенська ТГ</w:t>
            </w:r>
          </w:p>
        </w:tc>
        <w:tc>
          <w:tcPr>
            <w:tcW w:w="1134" w:type="dxa"/>
          </w:tcPr>
          <w:p w:rsidR="007D3DBC" w:rsidRPr="00844A5A" w:rsidRDefault="007D3DBC" w:rsidP="007D3DBC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>Бюджет  ТГ</w:t>
            </w:r>
          </w:p>
        </w:tc>
        <w:tc>
          <w:tcPr>
            <w:tcW w:w="993" w:type="dxa"/>
          </w:tcPr>
          <w:p w:rsidR="007D3DBC" w:rsidRPr="004412C9" w:rsidRDefault="004412C9" w:rsidP="00FE012F">
            <w:pPr>
              <w:rPr>
                <w:sz w:val="24"/>
                <w:szCs w:val="24"/>
                <w:lang w:val="uk-UA"/>
              </w:rPr>
            </w:pPr>
            <w:r w:rsidRPr="004412C9"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708" w:type="dxa"/>
          </w:tcPr>
          <w:p w:rsidR="007D3DBC" w:rsidRPr="004412C9" w:rsidRDefault="004412C9" w:rsidP="00FE012F">
            <w:pPr>
              <w:rPr>
                <w:sz w:val="24"/>
                <w:szCs w:val="24"/>
                <w:lang w:val="uk-UA"/>
              </w:rPr>
            </w:pPr>
            <w:r w:rsidRPr="004412C9">
              <w:rPr>
                <w:sz w:val="24"/>
                <w:szCs w:val="24"/>
                <w:lang w:val="uk-UA"/>
              </w:rPr>
              <w:t>6</w:t>
            </w:r>
            <w:r w:rsidR="007D3DBC" w:rsidRPr="004412C9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709" w:type="dxa"/>
          </w:tcPr>
          <w:p w:rsidR="007D3DBC" w:rsidRPr="004412C9" w:rsidRDefault="004412C9" w:rsidP="00FE012F">
            <w:pPr>
              <w:rPr>
                <w:sz w:val="24"/>
                <w:szCs w:val="24"/>
                <w:lang w:val="uk-UA"/>
              </w:rPr>
            </w:pPr>
            <w:r w:rsidRPr="004412C9">
              <w:rPr>
                <w:sz w:val="24"/>
                <w:szCs w:val="24"/>
                <w:lang w:val="uk-UA"/>
              </w:rPr>
              <w:t>6</w:t>
            </w:r>
            <w:r w:rsidR="007D3DBC" w:rsidRPr="004412C9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2410" w:type="dxa"/>
          </w:tcPr>
          <w:p w:rsidR="007D3DBC" w:rsidRPr="00844A5A" w:rsidRDefault="007D3DBC" w:rsidP="00FE012F">
            <w:pPr>
              <w:rPr>
                <w:sz w:val="24"/>
                <w:szCs w:val="24"/>
                <w:lang w:val="uk-UA"/>
              </w:rPr>
            </w:pPr>
            <w:r w:rsidRPr="00844A5A">
              <w:rPr>
                <w:sz w:val="24"/>
                <w:szCs w:val="24"/>
                <w:lang w:val="uk-UA"/>
              </w:rPr>
              <w:t xml:space="preserve">Поліпшення стану громадського порядку,запобігання порушенням громадського </w:t>
            </w:r>
            <w:r w:rsidRPr="00844A5A">
              <w:rPr>
                <w:sz w:val="24"/>
                <w:szCs w:val="24"/>
                <w:lang w:val="uk-UA"/>
              </w:rPr>
              <w:lastRenderedPageBreak/>
              <w:t>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</w:tbl>
    <w:p w:rsidR="007D3DBC" w:rsidRPr="007D3DBC" w:rsidRDefault="007D3DBC" w:rsidP="00B52192">
      <w:pPr>
        <w:rPr>
          <w:lang w:val="ru-RU"/>
        </w:rPr>
      </w:pPr>
    </w:p>
    <w:p w:rsidR="00B52192" w:rsidRPr="002731DD" w:rsidRDefault="00B52192" w:rsidP="00B52192">
      <w:pPr>
        <w:rPr>
          <w:sz w:val="28"/>
          <w:szCs w:val="28"/>
        </w:rPr>
      </w:pPr>
    </w:p>
    <w:p w:rsidR="00912DEE" w:rsidRPr="002731DD" w:rsidRDefault="00912DEE"/>
    <w:sectPr w:rsidR="00912DEE" w:rsidRPr="002731DD" w:rsidSect="00B76718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73C"/>
    <w:multiLevelType w:val="hybridMultilevel"/>
    <w:tmpl w:val="3B6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702"/>
    <w:multiLevelType w:val="hybridMultilevel"/>
    <w:tmpl w:val="37B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6D"/>
    <w:multiLevelType w:val="multilevel"/>
    <w:tmpl w:val="57FA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4"/>
    <w:rsid w:val="00015E03"/>
    <w:rsid w:val="0009070F"/>
    <w:rsid w:val="001058F4"/>
    <w:rsid w:val="001620EF"/>
    <w:rsid w:val="002731DD"/>
    <w:rsid w:val="0029754F"/>
    <w:rsid w:val="004412C9"/>
    <w:rsid w:val="00452FAC"/>
    <w:rsid w:val="00457DB0"/>
    <w:rsid w:val="005B20A9"/>
    <w:rsid w:val="00643C06"/>
    <w:rsid w:val="006D6EE0"/>
    <w:rsid w:val="007D3DBC"/>
    <w:rsid w:val="00806870"/>
    <w:rsid w:val="00912DEE"/>
    <w:rsid w:val="009232A8"/>
    <w:rsid w:val="009752F6"/>
    <w:rsid w:val="009C5C75"/>
    <w:rsid w:val="009E382F"/>
    <w:rsid w:val="00A36419"/>
    <w:rsid w:val="00A47E51"/>
    <w:rsid w:val="00AB5D3E"/>
    <w:rsid w:val="00B52192"/>
    <w:rsid w:val="00B76718"/>
    <w:rsid w:val="00D03A14"/>
    <w:rsid w:val="00D96BB5"/>
    <w:rsid w:val="00DC16A1"/>
    <w:rsid w:val="00DD5660"/>
    <w:rsid w:val="00E201CF"/>
    <w:rsid w:val="00E43ED1"/>
    <w:rsid w:val="00E925BE"/>
    <w:rsid w:val="00E92CE1"/>
    <w:rsid w:val="00ED24F5"/>
    <w:rsid w:val="00F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19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21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21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52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nhideWhenUsed/>
    <w:rsid w:val="00B521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5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1620EF"/>
    <w:pPr>
      <w:suppressAutoHyphens/>
      <w:spacing w:after="120"/>
    </w:pPr>
    <w:rPr>
      <w:kern w:val="2"/>
      <w:lang w:val="en-US"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620EF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a9">
    <w:name w:val="No Spacing"/>
    <w:uiPriority w:val="1"/>
    <w:qFormat/>
    <w:rsid w:val="001620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7D3D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19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21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21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52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nhideWhenUsed/>
    <w:rsid w:val="00B521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5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1620EF"/>
    <w:pPr>
      <w:suppressAutoHyphens/>
      <w:spacing w:after="120"/>
    </w:pPr>
    <w:rPr>
      <w:kern w:val="2"/>
      <w:lang w:val="en-US"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620EF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a9">
    <w:name w:val="No Spacing"/>
    <w:uiPriority w:val="1"/>
    <w:qFormat/>
    <w:rsid w:val="001620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7D3D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2021-12-28T13:57:00Z</cp:lastPrinted>
  <dcterms:created xsi:type="dcterms:W3CDTF">2020-05-21T08:08:00Z</dcterms:created>
  <dcterms:modified xsi:type="dcterms:W3CDTF">2022-01-06T09:23:00Z</dcterms:modified>
</cp:coreProperties>
</file>