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B6" w:rsidRDefault="006971A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8"/>
        </w:rPr>
      </w:pPr>
      <w:r>
        <w:rPr>
          <w:rFonts w:ascii="Times New Roman" w:eastAsia="Times New Roman" w:hAnsi="Times New Roman" w:cs="Times New Roman"/>
          <w:spacing w:val="8"/>
          <w:sz w:val="28"/>
        </w:rPr>
        <w:t>ПРОЄКТ</w:t>
      </w:r>
    </w:p>
    <w:p w:rsidR="00B073B6" w:rsidRDefault="00B073B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</w:rPr>
      </w:pPr>
    </w:p>
    <w:p w:rsidR="00B073B6" w:rsidRDefault="006971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</w:rPr>
      </w:pPr>
      <w:r>
        <w:object w:dxaOrig="691" w:dyaOrig="960">
          <v:rect id="rectole0000000000" o:spid="_x0000_i1025" style="width:34.5pt;height:48pt" o:ole="" o:preferrelative="t" stroked="f">
            <v:imagedata r:id="rId4" o:title=""/>
          </v:rect>
          <o:OLEObject Type="Embed" ProgID="StaticMetafile" ShapeID="rectole0000000000" DrawAspect="Content" ObjectID="_1670237025" r:id="rId5"/>
        </w:object>
      </w:r>
    </w:p>
    <w:p w:rsidR="00B073B6" w:rsidRDefault="00B073B6">
      <w:pPr>
        <w:spacing w:after="0" w:line="240" w:lineRule="auto"/>
        <w:ind w:right="-99"/>
        <w:rPr>
          <w:rFonts w:ascii="Times New Roman" w:eastAsia="Times New Roman" w:hAnsi="Times New Roman" w:cs="Times New Roman"/>
          <w:sz w:val="28"/>
        </w:rPr>
      </w:pPr>
    </w:p>
    <w:p w:rsidR="00B073B6" w:rsidRDefault="006971A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:rsidR="00B073B6" w:rsidRDefault="006971AF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:rsidR="00B073B6" w:rsidRDefault="0069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:rsidR="00B073B6" w:rsidRDefault="0069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(друга позачергова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сесія )</w:t>
      </w:r>
      <w:proofErr w:type="gramEnd"/>
    </w:p>
    <w:p w:rsidR="00B073B6" w:rsidRDefault="00B073B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73B6" w:rsidRDefault="006971A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:rsidR="00B073B6" w:rsidRDefault="00B073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73B6" w:rsidRDefault="006971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24 </w:t>
      </w:r>
      <w:r>
        <w:rPr>
          <w:rFonts w:ascii="Times New Roman" w:eastAsia="Times New Roman" w:hAnsi="Times New Roman" w:cs="Times New Roman"/>
          <w:sz w:val="28"/>
        </w:rPr>
        <w:t xml:space="preserve"> грудня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2020 р.                          с. Городище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№ 2/  </w:t>
      </w:r>
    </w:p>
    <w:p w:rsidR="00B073B6" w:rsidRDefault="006971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</w:p>
    <w:p w:rsidR="00B073B6" w:rsidRDefault="00B073B6">
      <w:pPr>
        <w:spacing w:after="200" w:line="276" w:lineRule="auto"/>
        <w:ind w:firstLine="6237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B073B6" w:rsidRDefault="006971AF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 затвердження цільової програми «Шкільний автобус» </w:t>
      </w:r>
    </w:p>
    <w:p w:rsidR="00B073B6" w:rsidRDefault="006971AF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Городищенської сільської ради на 2021-2025 роки</w:t>
      </w:r>
    </w:p>
    <w:p w:rsidR="00B073B6" w:rsidRDefault="00B073B6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073B6" w:rsidRDefault="006971AF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Керуючись статтями 26, </w:t>
      </w:r>
      <w:proofErr w:type="gramStart"/>
      <w:r>
        <w:rPr>
          <w:rFonts w:ascii="Times New Roman" w:eastAsia="Times New Roman" w:hAnsi="Times New Roman" w:cs="Times New Roman"/>
          <w:sz w:val="28"/>
        </w:rPr>
        <w:t>32  Закону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</w:rPr>
        <w:t>з метою виконання вимог законодавства щодо забезпечення у сільській місцевості регулярного безоплатного перевезення до(з) місць навчання учнів та педагогічних працівників,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забезпечення умов рівного доступу для дівчат і хлопців до сучасної, якісної, конкуре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нтоспроможної освіти,</w:t>
      </w:r>
      <w:r>
        <w:rPr>
          <w:rFonts w:ascii="Times New Roman" w:eastAsia="Times New Roman" w:hAnsi="Times New Roman" w:cs="Times New Roman"/>
          <w:sz w:val="28"/>
        </w:rPr>
        <w:t xml:space="preserve"> Городищенська сільська рада</w:t>
      </w:r>
    </w:p>
    <w:p w:rsidR="00B073B6" w:rsidRDefault="006971AF">
      <w:pPr>
        <w:spacing w:before="240" w:after="120" w:line="276" w:lineRule="auto"/>
        <w:ind w:left="3600" w:firstLine="510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ВИРІШИЛА:</w:t>
      </w:r>
    </w:p>
    <w:p w:rsidR="00B073B6" w:rsidRDefault="006971AF">
      <w:pPr>
        <w:suppressAutoHyphens/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Затвердити цільову програму «Шкільний автобус» Городищенської сільської ради на 2021-2025 роки» (додаток).</w:t>
      </w:r>
    </w:p>
    <w:p w:rsidR="00B073B6" w:rsidRDefault="006971AF">
      <w:pPr>
        <w:suppressAutoHyphens/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Відділу фінансів при формуванні сільського бюджету та внесенні змін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 бюджету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передбачити кошти на виконання заходів Програми.</w:t>
      </w:r>
    </w:p>
    <w:p w:rsidR="00B073B6" w:rsidRDefault="006971AF">
      <w:pPr>
        <w:suppressAutoHyphens/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>Забезпечити систематичний контроль за ходом реалізації завдань і заходів, передбачених Програмою та щоквартально розглядати п</w:t>
      </w:r>
      <w:r>
        <w:rPr>
          <w:rFonts w:ascii="Times New Roman" w:eastAsia="Times New Roman" w:hAnsi="Times New Roman" w:cs="Times New Roman"/>
          <w:sz w:val="28"/>
        </w:rPr>
        <w:t>ідсумки їх виконання.</w:t>
      </w:r>
    </w:p>
    <w:p w:rsidR="00B073B6" w:rsidRDefault="006971AF">
      <w:pPr>
        <w:suppressAutoHyphens/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 Контроль за виконанням цього рішення покласти на </w:t>
      </w:r>
      <w:r>
        <w:rPr>
          <w:rFonts w:ascii="Times New Roman" w:eastAsia="Times New Roman" w:hAnsi="Times New Roman" w:cs="Times New Roman"/>
          <w:sz w:val="28"/>
        </w:rPr>
        <w:t>постійну комісію з питань соціального захисту населення, освіти, культури, молоді та спорту.</w:t>
      </w:r>
    </w:p>
    <w:p w:rsidR="00B073B6" w:rsidRDefault="00B073B6">
      <w:pPr>
        <w:spacing w:after="200" w:line="331" w:lineRule="auto"/>
        <w:ind w:right="-1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073B6" w:rsidRDefault="006971AF">
      <w:pPr>
        <w:spacing w:after="200" w:line="331" w:lineRule="auto"/>
        <w:ind w:right="-1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Голова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Світлана СОКОЛЮК</w:t>
      </w:r>
    </w:p>
    <w:p w:rsidR="00B073B6" w:rsidRDefault="006971AF">
      <w:pPr>
        <w:spacing w:after="200" w:line="331" w:lineRule="auto"/>
        <w:ind w:right="-1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Тетяна Міндюк 797579</w:t>
      </w:r>
    </w:p>
    <w:p w:rsidR="00B073B6" w:rsidRDefault="00B073B6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</w:p>
    <w:p w:rsidR="00B073B6" w:rsidRDefault="00B073B6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</w:p>
    <w:p w:rsidR="00B073B6" w:rsidRDefault="00B073B6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</w:p>
    <w:p w:rsidR="00B073B6" w:rsidRDefault="00B073B6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</w:p>
    <w:p w:rsidR="00B073B6" w:rsidRDefault="00B073B6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</w:p>
    <w:p w:rsidR="00B073B6" w:rsidRDefault="00B073B6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</w:p>
    <w:p w:rsidR="00B073B6" w:rsidRDefault="00B073B6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</w:p>
    <w:p w:rsidR="00B073B6" w:rsidRDefault="00B073B6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</w:p>
    <w:p w:rsidR="00B073B6" w:rsidRDefault="00B073B6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</w:p>
    <w:p w:rsidR="00B073B6" w:rsidRDefault="006971AF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Додаток до рішення</w:t>
      </w:r>
    </w:p>
    <w:p w:rsidR="00B073B6" w:rsidRDefault="006971A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Городищенської сільсь</w:t>
      </w:r>
      <w:r>
        <w:rPr>
          <w:rFonts w:ascii="Times New Roman" w:eastAsia="Times New Roman" w:hAnsi="Times New Roman" w:cs="Times New Roman"/>
          <w:sz w:val="24"/>
        </w:rPr>
        <w:t>кої ради</w:t>
      </w:r>
    </w:p>
    <w:p w:rsidR="00B073B6" w:rsidRDefault="006971A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від _________ року № _______</w:t>
      </w:r>
    </w:p>
    <w:p w:rsidR="00B073B6" w:rsidRDefault="00B073B6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073B6" w:rsidRDefault="00B073B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B073B6" w:rsidRDefault="00B073B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B073B6" w:rsidRDefault="00B073B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B073B6" w:rsidRDefault="006971A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 xml:space="preserve">Цільова програма </w:t>
      </w:r>
    </w:p>
    <w:p w:rsidR="00B073B6" w:rsidRDefault="006971A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 xml:space="preserve">«Шкільний автобус» Городищенської сільської ради </w:t>
      </w:r>
    </w:p>
    <w:p w:rsidR="00B073B6" w:rsidRDefault="006971A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>на 2021-2025 роки</w:t>
      </w:r>
    </w:p>
    <w:p w:rsidR="00B073B6" w:rsidRDefault="00B073B6">
      <w:pPr>
        <w:spacing w:after="115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B073B6" w:rsidRDefault="00B073B6">
      <w:pPr>
        <w:spacing w:after="115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B073B6" w:rsidRDefault="00B073B6">
      <w:pPr>
        <w:spacing w:after="115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B073B6" w:rsidRDefault="00B073B6">
      <w:pPr>
        <w:spacing w:after="115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B073B6" w:rsidRDefault="00B073B6">
      <w:pPr>
        <w:spacing w:after="115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B073B6" w:rsidRDefault="00B073B6">
      <w:pPr>
        <w:spacing w:after="115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B073B6" w:rsidRDefault="00B073B6">
      <w:pPr>
        <w:spacing w:after="115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B073B6" w:rsidRDefault="00B073B6">
      <w:pPr>
        <w:spacing w:after="115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B073B6" w:rsidRDefault="00B073B6">
      <w:pPr>
        <w:spacing w:after="115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B073B6" w:rsidRDefault="00B073B6">
      <w:pPr>
        <w:spacing w:after="115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B073B6" w:rsidRDefault="00B073B6">
      <w:pPr>
        <w:spacing w:after="115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B073B6" w:rsidRDefault="00B073B6">
      <w:pPr>
        <w:spacing w:after="115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B073B6" w:rsidRDefault="00B073B6">
      <w:pPr>
        <w:spacing w:after="115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B073B6" w:rsidRDefault="00B073B6">
      <w:pPr>
        <w:spacing w:after="115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B073B6" w:rsidRDefault="0069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І. ПАСПОРТ ПРОГРАМИ</w:t>
      </w:r>
    </w:p>
    <w:p w:rsidR="00B073B6" w:rsidRDefault="00B07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111"/>
        <w:gridCol w:w="5771"/>
      </w:tblGrid>
      <w:tr w:rsidR="00B073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Ініціатор розроблення Програми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Гуманітарний відділ Городищенської сільської ради</w:t>
            </w:r>
          </w:p>
          <w:p w:rsidR="00B073B6" w:rsidRDefault="00B0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73B6" w:rsidRDefault="00B073B6">
            <w:pPr>
              <w:spacing w:after="0" w:line="240" w:lineRule="auto"/>
            </w:pP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Пункт 19 доручення  голови Городищенської сільської ради від  07.12.2020 року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№ 1 «Про  Програму «Шкільний автобус»  на 2021-2025 роки»</w:t>
            </w: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Розробник Програми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Гуманітарний відділ Городищенської сільської ради </w:t>
            </w:r>
          </w:p>
          <w:p w:rsidR="00B073B6" w:rsidRDefault="00B0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73B6" w:rsidRDefault="00B073B6">
            <w:pPr>
              <w:spacing w:after="0" w:line="240" w:lineRule="auto"/>
            </w:pP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Співрозробники Програми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Керівники закладів освіти Городищенської сільської ради, виконавчий комітет Городищенської сільської ради</w:t>
            </w:r>
          </w:p>
          <w:p w:rsidR="00B073B6" w:rsidRDefault="00B073B6">
            <w:pPr>
              <w:spacing w:after="0" w:line="240" w:lineRule="auto"/>
            </w:pP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Відповідальний виконавець Програми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Городищенська сільська рада, гуманітарний відділ Городищенської сільської ради</w:t>
            </w:r>
          </w:p>
          <w:p w:rsidR="00B073B6" w:rsidRDefault="00B0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73B6" w:rsidRDefault="00B073B6">
            <w:pPr>
              <w:spacing w:after="0" w:line="240" w:lineRule="auto"/>
            </w:pP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Учасники Програми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Гуманіт</w:t>
            </w:r>
            <w:r>
              <w:rPr>
                <w:rFonts w:ascii="Times New Roman" w:eastAsia="Times New Roman" w:hAnsi="Times New Roman" w:cs="Times New Roman"/>
                <w:sz w:val="24"/>
              </w:rPr>
              <w:t>арний відділ Городищенської сільської ради, заклади освіти Городищенської сільської ради</w:t>
            </w:r>
          </w:p>
          <w:p w:rsidR="00B073B6" w:rsidRDefault="00B073B6">
            <w:pPr>
              <w:spacing w:after="0" w:line="240" w:lineRule="auto"/>
            </w:pP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Термін реалізації Програми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2021-2025 роки</w:t>
            </w:r>
          </w:p>
          <w:p w:rsidR="00B073B6" w:rsidRDefault="00B073B6">
            <w:pPr>
              <w:spacing w:after="0" w:line="240" w:lineRule="auto"/>
            </w:pP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Городищенської сільської ради, інші джерела фінансування, не заборонені законодавством</w:t>
            </w:r>
          </w:p>
          <w:p w:rsidR="00B073B6" w:rsidRDefault="00B0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73B6" w:rsidRDefault="00B0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73B6" w:rsidRDefault="00B0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73B6" w:rsidRDefault="00B073B6">
            <w:pPr>
              <w:spacing w:after="0" w:line="240" w:lineRule="auto"/>
            </w:pP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Загальний обсяг фінансових ресурсів, необхідних для реалізації Програми, усього: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 тому числі: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9.1.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освітня субвенція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9.2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кошти місцевого бюджету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9.3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кошти інших джерел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073B6" w:rsidRDefault="00B073B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073B6" w:rsidRDefault="00B0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73B6" w:rsidRDefault="00B0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73B6" w:rsidRDefault="00B0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73B6" w:rsidRDefault="00B0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73B6" w:rsidRDefault="00B0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73B6" w:rsidRDefault="00B0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73B6" w:rsidRDefault="00B0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73B6" w:rsidRDefault="00B0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73B6" w:rsidRDefault="00B0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73B6" w:rsidRDefault="00B0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73B6" w:rsidRDefault="00B0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73B6" w:rsidRDefault="00B0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73B6" w:rsidRDefault="00B0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73B6" w:rsidRDefault="006971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ІІ. Визначення проблеми, на розв’язання якої спрямована Програма </w:t>
      </w:r>
    </w:p>
    <w:p w:rsidR="00B073B6" w:rsidRDefault="00B0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73B6" w:rsidRDefault="006971AF">
      <w:pPr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Організація регулярного безоплатного перевезення учнів до місць навчання і додому є складовою частиною забезпечення реалізації прав громадян на здобуття дошкільної та повної загальної середньої освіти. Статтею 13 Закону України «Про освіту», статтею 20 Зак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ону України «Про повну загальну середню освіту» та статтею 32 Закону України «Про місцеве самоврядування» передбачено забезпечення у територіальній громаді регулярного безоплатного підвезення до місць навчання і додому учнів та учениць та педагогічних прац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івників(працівниць).</w:t>
      </w:r>
    </w:p>
    <w:p w:rsidR="00B073B6" w:rsidRDefault="00697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       До складу Городищенської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BFBFB"/>
        </w:rPr>
        <w:t>сільської  ради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 входять села: с. Городище, с. Григоровичі, с. Мартинівка, с. Несвіч, с.Чаруків, с.Вигуричі, с.Угринів, с.Дубова Корчма, с.Михлин, с.Маруся,  с.Загаї, с.Шклинь, с.Шклинь Другий, с.Бережанк</w:t>
      </w:r>
      <w:r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а, с.Губин Перший, с.Ниви Губинські, смт.Сенкевичівка, с.Колодеже, с.Сергіївка, с.Жабче, с.Наталин. Через віддаленість населених пунктів від закладів освіти, необхідно здійснювати підвіз учнів(учениць) та педагогічних працівників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BFBFB"/>
        </w:rPr>
        <w:t>до  закладів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 дошкільної та</w:t>
      </w:r>
      <w:r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 загальної середньої освіти Городищенської сільської ради. Нерегулярність руху маршрутних автобусів не дає змоги їм вчасно потрапити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BFBFB"/>
        </w:rPr>
        <w:t>до закладу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 освіти, брати участь у позакласних заходах.</w:t>
      </w:r>
      <w:r>
        <w:rPr>
          <w:rFonts w:ascii="Arial" w:eastAsia="Arial" w:hAnsi="Arial" w:cs="Arial"/>
          <w:sz w:val="24"/>
          <w:shd w:val="clear" w:color="auto" w:fill="FBFBFB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Виконання Програми дасть змогу створити умови для організації безпечного, регулярного і безоплатного перевезення учнів(учениць) та педагогічних працівників(працівниць) закладів освіти громади до місця навчання, роботи і додому, поліпшення освітнього рівня </w:t>
      </w:r>
      <w:r>
        <w:rPr>
          <w:rFonts w:ascii="Times New Roman" w:eastAsia="Times New Roman" w:hAnsi="Times New Roman" w:cs="Times New Roman"/>
          <w:sz w:val="24"/>
          <w:shd w:val="clear" w:color="auto" w:fill="FBFBFB"/>
        </w:rPr>
        <w:t>населення та раціонального використання кадрового потенціалу закладів загальної середньої та дошкільної освіти. Належна організація підвезення учнів, що проживають за межею пішохідної доступності, до закладів освіти сприятиме проведенню оптимізації освітні</w:t>
      </w:r>
      <w:r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BFBFB"/>
        </w:rPr>
        <w:t>закладів,  створенню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 опорних ЗЗСО та їх філій, створенню спроможної мережі закладів освіти, забезпеченню якості освіти та покращенню умов для безпеки дітей, збереженню їх здоров’я, ефективному використанню бюджетних коштів, кадрового потенціалу педагогіч</w:t>
      </w:r>
      <w:r>
        <w:rPr>
          <w:rFonts w:ascii="Times New Roman" w:eastAsia="Times New Roman" w:hAnsi="Times New Roman" w:cs="Times New Roman"/>
          <w:sz w:val="24"/>
          <w:shd w:val="clear" w:color="auto" w:fill="FBFBFB"/>
        </w:rPr>
        <w:t>них працівників, а також розширить можливості для гурткової та позакласної роботи.</w:t>
      </w:r>
    </w:p>
    <w:p w:rsidR="00B073B6" w:rsidRDefault="00697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                  Програма розроблена відповідно Закону України «Про освіту», Закону України «Про повну загальну середню освіту», Закону України «Про місцеве самоврядування </w:t>
      </w:r>
      <w:r>
        <w:rPr>
          <w:rFonts w:ascii="Times New Roman" w:eastAsia="Times New Roman" w:hAnsi="Times New Roman" w:cs="Times New Roman"/>
          <w:sz w:val="24"/>
          <w:shd w:val="clear" w:color="auto" w:fill="FBFBFB"/>
        </w:rPr>
        <w:t>в Україні»</w:t>
      </w:r>
      <w:r>
        <w:rPr>
          <w:rFonts w:ascii="Arial" w:eastAsia="Arial" w:hAnsi="Arial" w:cs="Arial"/>
          <w:sz w:val="24"/>
          <w:shd w:val="clear" w:color="auto" w:fill="FBFBFB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BFBFB"/>
        </w:rPr>
        <w:t>та Порядку розроблення та затвердження місцевих цільових програм, затвердженого Городищенською сільською радою від 08 грудня 2020р.№1/28</w:t>
      </w:r>
    </w:p>
    <w:p w:rsidR="00B073B6" w:rsidRDefault="00B073B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BFBFB"/>
        </w:rPr>
      </w:pPr>
    </w:p>
    <w:p w:rsidR="00B073B6" w:rsidRDefault="006971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ІІІ. Визначення мети Програми </w:t>
      </w:r>
    </w:p>
    <w:p w:rsidR="00B073B6" w:rsidRDefault="00B0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073B6" w:rsidRDefault="00697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Метою Програми є виконання вимог законодавства щодо забезпечення у сільськ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ій місцевості регулярного безоплатного перевезення до(з) місць навчання учнів(учениць) та педагогічних працівників, забезпечення умов рівного доступу для дівчат і хлопців до сучасної, якісної, конкурентоспроможної освіти відповідно до вимог інноваційного 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озвитку суспільства, що відповідає актуальним і перспективним запитам особистості, суспільства та держави, створення комфортних, безпечних та інклюзивних умов навчання і виховання у закладах освіти громади. Забезпечення екскурсійного обслуговування учнівсь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кої молоді, її участі в конкурсах, спортивних змаганнях, спартакіадах, олімпіадах,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фестивалях, заходах місцевого, обласного та Всеукраїнського рівнів.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Забезпечення участі учасників освітнього процесу в нарадах,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семінарах, інших заходах місцевого, обласного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 Всеукраїнського рівнів.</w:t>
      </w:r>
    </w:p>
    <w:p w:rsidR="00B073B6" w:rsidRDefault="00B073B6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B073B6" w:rsidRDefault="0069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IV. Обґрунтування шляхів і засобів розв'язання проблеми, обсягів та джерел фінансування; строки та етапи виконання Програми</w:t>
      </w:r>
    </w:p>
    <w:p w:rsidR="00B073B6" w:rsidRDefault="006971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BFBFB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BFBFB"/>
        </w:rPr>
        <w:t xml:space="preserve">Організацію перевезення учнів(учениць) та педагогічних працівників(працівниць) планується здійснювати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BFBFB"/>
        </w:rPr>
        <w:t>шляхом :</w:t>
      </w:r>
      <w:proofErr w:type="gramEnd"/>
      <w:r>
        <w:rPr>
          <w:rFonts w:ascii="Arial" w:eastAsia="Arial" w:hAnsi="Arial" w:cs="Arial"/>
          <w:color w:val="000000"/>
          <w:sz w:val="24"/>
          <w:shd w:val="clear" w:color="auto" w:fill="FBFBF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BFBFB"/>
        </w:rPr>
        <w:t>цільового використання та належної експлуатації закладами освіти Городищенської сільської ради наявного парку шкільних автобусів;</w:t>
      </w:r>
      <w:r>
        <w:rPr>
          <w:rFonts w:ascii="Arial" w:eastAsia="Arial" w:hAnsi="Arial" w:cs="Arial"/>
          <w:color w:val="000000"/>
          <w:sz w:val="24"/>
          <w:shd w:val="clear" w:color="auto" w:fill="FBFBF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BFBFB"/>
        </w:rPr>
        <w:t>укладання догов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BFBFB"/>
        </w:rPr>
        <w:t>орів з автотранспортними підприємствами, установами, організаціями усіх форм власності, перевізниками-фізичними особами на здійснення організованого підвезення або підвезення рейсовими автобусами .</w:t>
      </w:r>
    </w:p>
    <w:p w:rsidR="00B073B6" w:rsidRDefault="0069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BFBFB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BFBFB"/>
        </w:rPr>
        <w:t>З метою раціонального використання шкільних автобусів керівництво закладів освіти повинно забезпечити коригування розкладу уроків та режиму освітнього процесу.</w:t>
      </w:r>
    </w:p>
    <w:p w:rsidR="00B073B6" w:rsidRDefault="006971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BFBFB"/>
        </w:rPr>
        <w:t>Організацію перевезення учнів та педагогічних працівників планується здійснювати шляхом:</w:t>
      </w:r>
      <w:r>
        <w:rPr>
          <w:rFonts w:ascii="Arial" w:eastAsia="Arial" w:hAnsi="Arial" w:cs="Arial"/>
          <w:color w:val="000000"/>
          <w:sz w:val="24"/>
          <w:shd w:val="clear" w:color="auto" w:fill="FBFBF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BFBFB"/>
        </w:rPr>
        <w:t>цільово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BFBFB"/>
        </w:rPr>
        <w:t>го використання та належної експлуатації закладами освіти Городищенської сільської ради наявного парку шкільних автобусів;</w:t>
      </w:r>
      <w:r>
        <w:rPr>
          <w:rFonts w:ascii="Arial" w:eastAsia="Arial" w:hAnsi="Arial" w:cs="Arial"/>
          <w:color w:val="000000"/>
          <w:sz w:val="24"/>
          <w:shd w:val="clear" w:color="auto" w:fill="FBFBF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BFBFB"/>
        </w:rPr>
        <w:t>укладання договорів з автотранспортними підприємствами, установами, організаціями усіх форм власності, перевізниками-фізичними особам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BFBFB"/>
        </w:rPr>
        <w:t xml:space="preserve">и на здійснення організованого підвезення або підвезення рейсовими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BFBFB"/>
        </w:rPr>
        <w:t>автобусами .</w:t>
      </w:r>
      <w:proofErr w:type="gramEnd"/>
    </w:p>
    <w:p w:rsidR="00B073B6" w:rsidRDefault="0069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BFBFB"/>
        </w:rPr>
        <w:t xml:space="preserve">         Програма довгострокова.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Фінансування Програми здійснюється за рахунок коштів місцевого бюджету, а також за рахунок інших джерел, не заборонених чинним законодавством 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країни.</w:t>
      </w:r>
    </w:p>
    <w:p w:rsidR="00B073B6" w:rsidRDefault="00B0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073B6" w:rsidRDefault="00B0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1017"/>
        <w:gridCol w:w="1424"/>
        <w:gridCol w:w="1360"/>
        <w:gridCol w:w="1288"/>
        <w:gridCol w:w="1287"/>
        <w:gridCol w:w="1288"/>
      </w:tblGrid>
      <w:tr w:rsidR="00B073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6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Етапи виконання Програми</w:t>
            </w:r>
          </w:p>
        </w:tc>
        <w:tc>
          <w:tcPr>
            <w:tcW w:w="1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Всього витрат на виконання Програми</w:t>
            </w: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ІV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</w:t>
            </w:r>
          </w:p>
        </w:tc>
        <w:tc>
          <w:tcPr>
            <w:tcW w:w="1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73B6" w:rsidRDefault="00B073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Обсяг ресурсів, усього (тис. грн.)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 тому числі: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Освітня субвенція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Місцевий бюджет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Інші кошти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73B6" w:rsidRDefault="00B07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073B6" w:rsidRDefault="00B0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073B6" w:rsidRDefault="00697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Виконання Програми передбачається здійснити впродовж 2021-2025 років.</w:t>
      </w:r>
    </w:p>
    <w:p w:rsidR="00B073B6" w:rsidRDefault="00B073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073B6" w:rsidRDefault="006971AF">
      <w:pPr>
        <w:tabs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Перелік завдань і заходів Програми та результативні показники</w:t>
      </w:r>
    </w:p>
    <w:p w:rsidR="00B073B6" w:rsidRDefault="0069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Виконання Програми «Шкільний автобус» Городищенської  сільської ради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на 2021 - 2025 роки дасть можливість :  забезпечити утримання на належному рівні наявного парку шкільних автобусів; -  забезпечити соціальний захист учасників освітнього процесу, припинити негативні процеси у соціальній сфері села, досягти позитивних зруше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нь у забезпеченні життєдіяльності сільського населення;  створити умови для забезпечення регулярного безоплатного перевезення учнів, дітей та педагогічних працівників до місць навчання, роботи і додому;  створити оптимальну мережу закладів освіти; </w:t>
      </w:r>
      <w:r>
        <w:rPr>
          <w:rFonts w:ascii="Times New Roman" w:eastAsia="Times New Roman" w:hAnsi="Times New Roman" w:cs="Times New Roman"/>
          <w:sz w:val="24"/>
        </w:rPr>
        <w:t>- зміцни</w:t>
      </w:r>
      <w:r>
        <w:rPr>
          <w:rFonts w:ascii="Times New Roman" w:eastAsia="Times New Roman" w:hAnsi="Times New Roman" w:cs="Times New Roman"/>
          <w:sz w:val="24"/>
        </w:rPr>
        <w:t xml:space="preserve">ти матеріально-технічне та фінансове забезпечення закладів освіти; - забезпечити рівний доступ дівчат і хлопців громади до якісної освіти незалежно від місця проживання;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вирішувати проблеми освіти на більш високому рівні – диференціації, індивідуалізації </w:t>
      </w:r>
      <w:r>
        <w:rPr>
          <w:rFonts w:ascii="Times New Roman" w:eastAsia="Times New Roman" w:hAnsi="Times New Roman" w:cs="Times New Roman"/>
          <w:color w:val="000000"/>
          <w:sz w:val="24"/>
        </w:rPr>
        <w:t>навчання, організації систематичного та якісного контролю за навчальними досягненнями учнів;  поліпшити якість знань учнів, ефективне використання наявної матеріально-технічної бази, кадрового потенціалу педагогічних працівників, фінансових можливостей осв</w:t>
      </w:r>
      <w:r>
        <w:rPr>
          <w:rFonts w:ascii="Times New Roman" w:eastAsia="Times New Roman" w:hAnsi="Times New Roman" w:cs="Times New Roman"/>
          <w:color w:val="000000"/>
          <w:sz w:val="24"/>
        </w:rPr>
        <w:t>ітянської галузі; – за можливості придбати шкільні автобуси для оновлення існуючого парку шкільних автобусів.</w:t>
      </w:r>
    </w:p>
    <w:p w:rsidR="00B073B6" w:rsidRDefault="00B073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73B6" w:rsidRDefault="006971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VІ. Напрями діяльності та заходи Програми</w:t>
      </w:r>
    </w:p>
    <w:p w:rsidR="00B073B6" w:rsidRDefault="006971A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Розділ подано у додатку до Програми.</w:t>
      </w:r>
    </w:p>
    <w:p w:rsidR="00B073B6" w:rsidRDefault="0069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VІІ. Координація та контроль за ходом виконання Програми</w:t>
      </w:r>
    </w:p>
    <w:p w:rsidR="00B073B6" w:rsidRDefault="00B07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73B6" w:rsidRDefault="00697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Координацію та контроль за ходом виконання Програми здійснює виконавчий комітет сільської ради відповідно до розподілу обов'язків. Відповідальним виконавцем Програми є гуманітарний відділ Городищенської сільської ради. Співвиконавцем заходів Програми є зак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лади освіти.</w:t>
      </w:r>
    </w:p>
    <w:p w:rsidR="00B073B6" w:rsidRDefault="00697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Заклади освіти щоквартально до 5 числа місяця наступного за звітним періодом, надають гуманітарному відділу сільської ради інформацію про стан виконання заходів Програми, відповідальним виконавцем яких визначено цей гуманітарний відділ для зді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йснення моніторингу реалізації Програми щоквартально, до 15 числа місяця наступного за звітним періодом, подає виконкому сільської ради інформацію про стан та результати виконання заходів Програми.</w:t>
      </w:r>
    </w:p>
    <w:p w:rsidR="006971AF" w:rsidRPr="006971AF" w:rsidRDefault="006971AF" w:rsidP="006971AF">
      <w:pPr>
        <w:spacing w:after="0" w:line="240" w:lineRule="auto"/>
        <w:ind w:firstLine="708"/>
        <w:jc w:val="both"/>
        <w:rPr>
          <w:rFonts w:ascii="IBM Plex Serif" w:eastAsia="IBM Plex Serif" w:hAnsi="IBM Plex Serif" w:cs="IBM Plex Serif"/>
          <w:color w:val="293A55"/>
          <w:sz w:val="24"/>
          <w:shd w:val="clear" w:color="auto" w:fill="FFFFFF"/>
          <w:lang w:val="uk-UA"/>
        </w:rPr>
        <w:sectPr w:rsidR="006971AF" w:rsidRPr="00697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Після закінчення терміну реалізації Програми гуманітарний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відділ сільської ради у місячний термін готує підсумковий звіт про її виконання, подає його виконавчому комітету сільської ради та розміщує на офіційному вебсайті Городищенської сільської ради</w:t>
      </w:r>
      <w:r>
        <w:rPr>
          <w:rFonts w:ascii="IBM Plex Serif" w:eastAsia="IBM Plex Serif" w:hAnsi="IBM Plex Serif" w:cs="IBM Plex Serif"/>
          <w:color w:val="293A55"/>
          <w:sz w:val="24"/>
          <w:shd w:val="clear" w:color="auto" w:fill="FFFFFF"/>
          <w:lang w:val="uk-UA"/>
        </w:rPr>
        <w:t>.</w:t>
      </w:r>
      <w:bookmarkStart w:id="0" w:name="_GoBack"/>
      <w:bookmarkEnd w:id="0"/>
    </w:p>
    <w:p w:rsidR="00B073B6" w:rsidRDefault="00B073B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B073B6" w:rsidRDefault="006971A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Додаток до Програми</w:t>
      </w:r>
    </w:p>
    <w:p w:rsidR="00B073B6" w:rsidRDefault="006971A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І. Напрями діяльності та заходи Програми </w:t>
      </w:r>
    </w:p>
    <w:p w:rsidR="00B073B6" w:rsidRDefault="006971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ЦІЛЬОВА ПРОГРАМА</w:t>
      </w:r>
    </w:p>
    <w:p w:rsidR="00B073B6" w:rsidRDefault="006971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«Шкільний автобус» Городищенської сільської ради на 2021-2025 роки</w:t>
      </w:r>
    </w:p>
    <w:p w:rsidR="00B073B6" w:rsidRDefault="00B073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152"/>
        <w:gridCol w:w="1893"/>
        <w:gridCol w:w="1209"/>
        <w:gridCol w:w="1650"/>
        <w:gridCol w:w="1623"/>
        <w:gridCol w:w="829"/>
        <w:gridCol w:w="616"/>
        <w:gridCol w:w="616"/>
        <w:gridCol w:w="616"/>
        <w:gridCol w:w="616"/>
        <w:gridCol w:w="616"/>
        <w:gridCol w:w="1486"/>
      </w:tblGrid>
      <w:tr w:rsidR="00B073B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Назва напряму діяльності (пріоритетні завдання)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Перелік заходів програми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Строк виконання заходу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3B6" w:rsidRDefault="0069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Відповідальний</w:t>
            </w:r>
          </w:p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виконавець заходу програми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Джерела фінансування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Орієнтовні обсяги фінансування (вартість), тис. грн,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Очікуваний результат</w:t>
            </w: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усього, </w:t>
            </w:r>
          </w:p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 т.ч.: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2021 рік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2022 рік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2023 рік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2024 рік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2025 рік</w:t>
            </w: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Забезпечити підвезення учасників / учасниць освітнього процесу до місць роботи, навчання і додому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Підвезення учасників / учасниць навчально-виховного процесу до місць роботи, навчання, додому в рамках виконання програми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2021-2025 роки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Городищенська сільська рада, гуманітарний відділ Городищенської сільської ради,  заклади освіти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Городищенської сільської ради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Рівний доступ дівчат і хлопців до якісної освіти</w:t>
            </w: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Закріплення за закладами освіти територій обслуговування з урахуванням потреби в організації перевезення учнів, дітей та педагогічних працівників у сільській місцевості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Підготовка розпорядження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 закріплення за закладами освіти території обслуговування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021-2025 роки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Городищенська сільська рада, гуманітарний відділ Городищенської сільської ради,  заклади освіти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потребує фінансування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Забезпечення підвозу учасників / учасниць освітнього процесу</w:t>
            </w:r>
          </w:p>
          <w:p w:rsidR="00B073B6" w:rsidRDefault="00B073B6">
            <w:pPr>
              <w:spacing w:after="0" w:line="240" w:lineRule="auto"/>
            </w:pP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Здійснити державну реєстрацію (перереєстрацію) права власності на шкільні автобуси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Здійснення перереєстрації права власності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Городищенська сільська рада, гуманітарний відділ Городищенської сільської ради,  заклади освіти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Городищенської сільської ради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Здійснення реєстрації в межах чинного законодавства</w:t>
            </w: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 формуванні бюджету громади на наступні роки (або внесенні змін до бюджету) передбачити фінансування видатків на виконання заходів, необхідних для забезпечення пально-мастильними матеріалами, запасними частинами та засобами для безпечної експлуатації 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анспортних засобів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Належне утримання наявного парку шкільних автобусів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2021-2025 роки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Городищенська сільська рада, гуманітарний відділ Городищенської сільської ради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Городищенської сільської ради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Безпечна експлуатація транспортних засобів</w:t>
            </w: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Двічі на рік забезпечити проходження технічного огляду шкільних автобусів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Забезпечення належного технічного стану транспортних засобів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2021-2025 роки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Городищенська сільська рада, гуманітарний відділ Городищенської сільської ради, заклади освіти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Городищенської сільської ради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Безпечна експлуатація шкільних автобусів</w:t>
            </w: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Забезпечити щорічне придбання страхових полісів для шкільних автобусів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Налагодження співпраці зі страховими агенствами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2021-2025 роки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Городищенська сільська рада, гуманітарний відділ Городищенської сільської ради, заклади освіти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Городищенської сільської ради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Безпечна експлуатація шкільних автобусів</w:t>
            </w: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Створення відповідних місць для розміщення та ремонту транспортних засобів (особливо в зимовий час)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Забезпечення утримання, зберігання  та ремонту шкільних автобусів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2021-2025 роки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Городищенська сільська рада,  заклади освіти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Городищенської сільської ради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Довгострокове збереження парку шкільних автобусів</w:t>
            </w: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Придбання автобусів для оновлення існуючого парку транспортних засобів громади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Оновлення існуючого парку транспортних засобів громади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2021-2025 роки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Городищенська сільська рада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Городищенської сільської ради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Оновлення парку шкільних автобусів</w:t>
            </w: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Здійснення розподілу придбаних транспортних засобів по маршрутах відповідно до потреб підвозу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Здійснення контролю за ефективністю підвозу здобувачів освіти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2021-2025 роки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Городищенська сільська рада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Городищенської сільської ради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Рівний доступ дівчат і хлопців до якісної освіти</w:t>
            </w: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У межах чинного законодавства, введення в штатний розпис закладів освіти  посад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br/>
              <w:t>інженера-механіка, медпрацівника  та  вихователя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br/>
              <w:t>супроводу</w:t>
            </w:r>
          </w:p>
          <w:p w:rsidR="00B073B6" w:rsidRDefault="00B073B6">
            <w:pPr>
              <w:spacing w:after="0" w:line="240" w:lineRule="auto"/>
              <w:jc w:val="both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Забезпечення якісного довозу учасників / учасниць освітнього процесу ЗДО та ЗЗСО згідно чинного законодавства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2021-2025 роки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Городищенська сільська рада, заклади освіти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Городищенської сільської ради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Забезпечення довозу учасників освітнього процесу згідно чинного законодавства</w:t>
            </w: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  <w:ind w:left="-2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При формуванні бюджету громади на наступні роки (або внесенні змін до бюджету ) передбачити фінансування видатків на отримання ліцензій медичними працівниками, що здійснюють проведення дорейсового медичного огляду водіїв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Забезпечення якісного медичного обслуговування водіїв автобусів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2021-2025 роки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Городищенська сільська рада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Городищенської сільської ради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Забезпечення дорейсового медичного огляду водіїв</w:t>
            </w: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Створити безпечні та доступні умови для довозу до закладів освіти учасників / учасниць освітнього процесу різних соціальних груп, здобувачів/здобувачок з ООП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Створення умов рівного доступу до  освіти дітей з інвалідністю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2021-2025 роки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Городищенська сільська рада, гуманітарний відділ Городищенської сільської ради,  заклади освіти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Городищенської сільської ради, освітня субвенція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Рівний доступ дівчат і хлопців з інвалідністю до якісної освіти</w:t>
            </w: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Створити безпечні та комфортні умови для організації довозу здобувачів освіти в умовах пандемії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Забезпечення шкільних автобусів дезінфікуючими засобами та ЗІЗ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2021-2025 роки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Городищенська сільська рада, гуманітарний відділ Городищенської сільської ради,  заклади освіти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Городищенської сільської ради, освітня субвенція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Здійснення заходів з безпеки учасників руху</w:t>
            </w: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Залучення шкільних автобусів для організації екскурсій, довозу учасників олімпіад, змагань, фестивалів та конкурсів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Залучення обдарованої молоді до різного роду турнірів та конкурсів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2021-2025 роки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Городищенська сільська рада, гуманітарний відділ Городищен</w:t>
            </w:r>
            <w:r>
              <w:rPr>
                <w:rFonts w:ascii="Times New Roman" w:eastAsia="Times New Roman" w:hAnsi="Times New Roman" w:cs="Times New Roman"/>
                <w:sz w:val="20"/>
              </w:rPr>
              <w:t>ської сільської ради,  заклади освіти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Городищенської сільської ради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Творчий розвиток обдарованої молоді</w:t>
            </w:r>
          </w:p>
        </w:tc>
      </w:tr>
      <w:tr w:rsidR="00B073B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6971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Усього: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B6" w:rsidRDefault="00B07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073B6" w:rsidRDefault="00B073B6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B073B6" w:rsidRDefault="00B073B6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B073B6" w:rsidRDefault="00B07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B073B6" w:rsidRDefault="00B07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B073B6" w:rsidRDefault="00B073B6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B073B6" w:rsidRDefault="00B073B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B073B6" w:rsidSect="00697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3B6"/>
    <w:rsid w:val="006971AF"/>
    <w:rsid w:val="00B0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C5D5DE"/>
  <w15:docId w15:val="{7B81EF42-E2B9-4674-8441-49CAF95B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2444</Words>
  <Characters>13933</Characters>
  <Application>Microsoft Office Word</Application>
  <DocSecurity>0</DocSecurity>
  <Lines>116</Lines>
  <Paragraphs>32</Paragraphs>
  <ScaleCrop>false</ScaleCrop>
  <Company/>
  <LinksUpToDate>false</LinksUpToDate>
  <CharactersWithSpaces>16345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2020-12-23T11:57:00Z</dcterms:created>
  <dcterms:modified xsi:type="dcterms:W3CDTF">2020-12-23T11:57:00Z</dcterms:modified>
</cp:coreProperties>
</file>