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5E" w:rsidRPr="009D1A49" w:rsidRDefault="00BB505E" w:rsidP="00BB505E">
      <w:pPr>
        <w:ind w:left="5670" w:right="-56"/>
        <w:rPr>
          <w:lang w:val="uk-UA"/>
        </w:rPr>
      </w:pPr>
      <w:r w:rsidRPr="009D1A49">
        <w:rPr>
          <w:lang w:val="uk-UA"/>
        </w:rPr>
        <w:t>Додаток № 1  до рішення                                                                                                                           Городищенської сільської ради</w:t>
      </w:r>
    </w:p>
    <w:p w:rsidR="00BB505E" w:rsidRPr="00EA208E" w:rsidRDefault="00BB505E" w:rsidP="00BB505E">
      <w:pPr>
        <w:ind w:right="-56"/>
        <w:rPr>
          <w:lang w:val="uk-UA"/>
        </w:rPr>
      </w:pPr>
      <w:r w:rsidRPr="009D1A49">
        <w:rPr>
          <w:lang w:val="uk-UA"/>
        </w:rPr>
        <w:t xml:space="preserve">                                                                                               </w:t>
      </w:r>
      <w:r w:rsidRPr="009D1A49">
        <w:t>Від</w:t>
      </w:r>
      <w:r>
        <w:rPr>
          <w:lang w:val="uk-UA"/>
        </w:rPr>
        <w:t xml:space="preserve"> 26</w:t>
      </w:r>
      <w:r w:rsidRPr="009D1A49">
        <w:t xml:space="preserve"> </w:t>
      </w:r>
      <w:r w:rsidRPr="009D1A49">
        <w:rPr>
          <w:lang w:val="uk-UA"/>
        </w:rPr>
        <w:t xml:space="preserve"> червня</w:t>
      </w:r>
      <w:r w:rsidRPr="009D1A49">
        <w:t xml:space="preserve"> 20</w:t>
      </w:r>
      <w:r>
        <w:rPr>
          <w:lang w:val="uk-UA"/>
        </w:rPr>
        <w:t>20</w:t>
      </w:r>
      <w:r w:rsidRPr="009D1A49">
        <w:t xml:space="preserve"> р.</w:t>
      </w:r>
      <w:r w:rsidRPr="009D1A49">
        <w:rPr>
          <w:lang w:val="uk-UA"/>
        </w:rPr>
        <w:t xml:space="preserve"> №</w:t>
      </w:r>
      <w:r w:rsidRPr="00EA208E">
        <w:rPr>
          <w:lang w:val="uk-UA"/>
        </w:rPr>
        <w:t>58-29/4</w:t>
      </w:r>
    </w:p>
    <w:p w:rsidR="00BB505E" w:rsidRPr="009D1A49" w:rsidRDefault="00BB505E" w:rsidP="00BB505E">
      <w:pPr>
        <w:ind w:right="-56"/>
        <w:rPr>
          <w:b/>
        </w:rPr>
      </w:pPr>
      <w:r w:rsidRPr="009D1A49">
        <w:rPr>
          <w:lang w:val="uk-UA"/>
        </w:rPr>
        <w:t xml:space="preserve">                                                                       </w:t>
      </w:r>
      <w:r w:rsidRPr="009D1A49">
        <w:rPr>
          <w:b/>
        </w:rPr>
        <w:t>ПОЛОЖЕННЯ</w:t>
      </w:r>
    </w:p>
    <w:p w:rsidR="00BB505E" w:rsidRPr="009D1A49" w:rsidRDefault="00BB505E" w:rsidP="00BB505E">
      <w:pPr>
        <w:jc w:val="center"/>
        <w:rPr>
          <w:b/>
          <w:lang w:val="uk-UA"/>
        </w:rPr>
      </w:pPr>
      <w:r w:rsidRPr="009D1A49">
        <w:rPr>
          <w:b/>
        </w:rPr>
        <w:t>про</w:t>
      </w:r>
      <w:r w:rsidRPr="009D1A49">
        <w:t xml:space="preserve"> </w:t>
      </w:r>
      <w:r w:rsidRPr="009D1A49">
        <w:rPr>
          <w:b/>
        </w:rPr>
        <w:t>податок на нерухоме майно,  відмінне від земельної ділянки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Відповідно до Закону України від 24.12.2015р. № 909-</w:t>
      </w:r>
      <w:r w:rsidRPr="009D1A49">
        <w:t>V</w:t>
      </w:r>
      <w:r w:rsidRPr="009D1A49">
        <w:rPr>
          <w:lang w:val="uk-UA"/>
        </w:rPr>
        <w:t>ІІІ «Про внесення змін до Податкового кодексу України та деяких інших законодавчих актів України щодо забезпечення збалансованості бюджетних надходжень у 2016 році»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Відповідно до п.п. 266.5.1 п. 266.5 ст. 266 Податкового кодексу України із змінами та доповненнями (далі – ПКУ) базою оподаткування є загальна площа об’єкта житлової та нежитлової нерухомості, в тому числі його часток.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  <w:lang w:val="uk-UA"/>
        </w:rPr>
      </w:pPr>
      <w:r w:rsidRPr="009D1A49">
        <w:rPr>
          <w:b/>
          <w:i/>
          <w:u w:val="single"/>
          <w:lang w:val="uk-UA"/>
        </w:rPr>
        <w:t>Загальні положення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Згідно із  ПКУ сільські, селищні, міські ради встановлюють пільги з податку, що сплачується на відповідній території з об’єктів житлової та/або нежитлової нерухомості, що перебувають у власності фізичних або юридичних осіб,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 Пільги з податку, що сплачується на відповідній території, з об’єктів житлової нерухомості для фізичних осіб визначаються виходячи з їх майнового стану та рівня доходів.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Зарахування податку на нерухоме майно, відмінне від земельної ділянки  до місцевого бюджету здійснюється відповідно до Бюджетного кодексу України.</w:t>
      </w:r>
    </w:p>
    <w:p w:rsidR="00BB505E" w:rsidRPr="009D1A49" w:rsidRDefault="00BB505E" w:rsidP="00BB505E">
      <w:pPr>
        <w:ind w:right="-56" w:firstLine="567"/>
        <w:jc w:val="both"/>
      </w:pPr>
    </w:p>
    <w:p w:rsidR="00BB505E" w:rsidRPr="009D1A49" w:rsidRDefault="00BB505E" w:rsidP="00BB505E">
      <w:pPr>
        <w:pStyle w:val="ListParagraph"/>
        <w:autoSpaceDE/>
        <w:ind w:right="-56"/>
        <w:jc w:val="center"/>
        <w:rPr>
          <w:b/>
          <w:i/>
          <w:sz w:val="24"/>
          <w:szCs w:val="24"/>
          <w:u w:val="single"/>
        </w:rPr>
      </w:pPr>
      <w:r w:rsidRPr="009D1A49">
        <w:rPr>
          <w:b/>
          <w:i/>
          <w:sz w:val="24"/>
          <w:szCs w:val="24"/>
          <w:u w:val="single"/>
        </w:rPr>
        <w:t>Платники податку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Платниками податку є фізичні та юридичні особи, в тому числі нерезиденти, які є власниками об'єктів житлової та/або нежитлової нерухомості.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Визначення платників податку в разі перебування об'єктів житлової та/або нежитлової нерухомості у спільній частковій або спільній сумісній власності кількох осіб: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а) якщо об'єкт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б) якщо об'єкт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в) якщо об'єкт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BB505E" w:rsidRPr="009D1A49" w:rsidRDefault="00BB505E" w:rsidP="00BB505E">
      <w:pPr>
        <w:pStyle w:val="StyleZakonu"/>
        <w:spacing w:after="120" w:line="240" w:lineRule="auto"/>
        <w:ind w:firstLine="720"/>
        <w:jc w:val="center"/>
        <w:rPr>
          <w:b/>
          <w:bCs/>
          <w:i/>
          <w:sz w:val="24"/>
          <w:szCs w:val="24"/>
          <w:u w:val="single"/>
          <w:lang w:val="ru-RU"/>
        </w:rPr>
      </w:pPr>
      <w:r w:rsidRPr="009D1A49">
        <w:rPr>
          <w:b/>
          <w:bCs/>
          <w:i/>
          <w:sz w:val="24"/>
          <w:szCs w:val="24"/>
          <w:u w:val="single"/>
          <w:lang w:val="ru-RU"/>
        </w:rPr>
        <w:t>Об’єкт оподаткування</w:t>
      </w:r>
    </w:p>
    <w:p w:rsidR="00BB505E" w:rsidRPr="009D1A49" w:rsidRDefault="00BB505E" w:rsidP="00BB505E">
      <w:pPr>
        <w:ind w:right="-56" w:firstLine="567"/>
        <w:jc w:val="both"/>
      </w:pPr>
      <w:r w:rsidRPr="009D1A49">
        <w:t>1. Об'єктом оподаткування є об'єкт житлової та нежитлової нерухомості, в тому числі його частка.</w:t>
      </w:r>
    </w:p>
    <w:p w:rsidR="00BB505E" w:rsidRPr="009D1A49" w:rsidRDefault="00BB505E" w:rsidP="00BB505E">
      <w:pPr>
        <w:ind w:right="-56" w:firstLine="567"/>
        <w:jc w:val="both"/>
      </w:pPr>
      <w:r w:rsidRPr="009D1A49">
        <w:t>2. Не є об'єктом оподаткування: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б) 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в) будівлі дитячих будинків сімейного типу;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г) гуртожитки;</w:t>
      </w:r>
    </w:p>
    <w:p w:rsidR="00BB505E" w:rsidRPr="009D1A49" w:rsidRDefault="00BB505E" w:rsidP="00BB505E">
      <w:pPr>
        <w:ind w:right="-56" w:firstLine="567"/>
      </w:pPr>
      <w:r w:rsidRPr="009D1A49">
        <w:t>ґ) житлова нерухомість непридатна для проживання, в тому числі у зв’язку з аварійним станом, визнана такою згідно з рішенням сільської, селищної, міської ради;</w:t>
      </w:r>
    </w:p>
    <w:p w:rsidR="00BB505E" w:rsidRPr="009D1A49" w:rsidRDefault="00BB505E" w:rsidP="00BB505E">
      <w:pPr>
        <w:tabs>
          <w:tab w:val="left" w:pos="0"/>
        </w:tabs>
        <w:ind w:right="-56"/>
      </w:pPr>
      <w:r w:rsidRPr="009D1A49">
        <w:lastRenderedPageBreak/>
        <w:t>д)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  <w:r w:rsidRPr="009D1A49">
        <w:rPr>
          <w:lang w:val="uk-UA"/>
        </w:rPr>
        <w:t xml:space="preserve">                                                                                                                       </w:t>
      </w:r>
      <w:r w:rsidRPr="009D1A49">
        <w:t>е) об'єкти нежитлової нерухомості, які використовуються суб'єктами господарювання малого та середнього бізнесу, що провадять свою діяльність в малих архітектурних формах та на ринках;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є) будівлі промисловості, зокрема виробничі корпуси, цехи, складські приміщення промислових підприємств;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t>з) об'єкти житлової та нежитлової нерухомості, які перебувають у власності громадських організацій інвалідів та їх підприємств.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</w:p>
    <w:p w:rsidR="00BB505E" w:rsidRPr="009D1A49" w:rsidRDefault="00BB505E" w:rsidP="00BB505E">
      <w:pPr>
        <w:pStyle w:val="StyleZakonu"/>
        <w:spacing w:after="120" w:line="240" w:lineRule="auto"/>
        <w:ind w:firstLine="720"/>
        <w:jc w:val="center"/>
        <w:rPr>
          <w:b/>
          <w:bCs/>
          <w:i/>
          <w:sz w:val="24"/>
          <w:szCs w:val="24"/>
          <w:u w:val="single"/>
          <w:lang w:val="uk-UA"/>
        </w:rPr>
      </w:pPr>
      <w:r w:rsidRPr="009D1A49">
        <w:rPr>
          <w:b/>
          <w:bCs/>
          <w:i/>
          <w:sz w:val="24"/>
          <w:szCs w:val="24"/>
          <w:u w:val="single"/>
          <w:lang w:val="uk-UA"/>
        </w:rPr>
        <w:t>База оподаткування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Базою оподаткування є загальна площа об'єкта житлової та нежитлової нерухомості, в тому числі його часток.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База оподаткування об'єктів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об'єкта оподаткування на підставі документів, що підтверджують право власності на такий об'єкт.</w:t>
      </w:r>
    </w:p>
    <w:p w:rsidR="00BB505E" w:rsidRPr="009D1A49" w:rsidRDefault="00BB505E" w:rsidP="00BB505E">
      <w:pPr>
        <w:pStyle w:val="StyleZakonu"/>
        <w:spacing w:after="120" w:line="240" w:lineRule="auto"/>
        <w:ind w:firstLine="720"/>
        <w:jc w:val="center"/>
        <w:rPr>
          <w:b/>
          <w:bCs/>
          <w:i/>
          <w:sz w:val="24"/>
          <w:szCs w:val="24"/>
          <w:u w:val="single"/>
          <w:lang w:val="ru-RU"/>
        </w:rPr>
      </w:pPr>
      <w:r w:rsidRPr="009D1A49">
        <w:rPr>
          <w:b/>
          <w:bCs/>
          <w:i/>
          <w:sz w:val="24"/>
          <w:szCs w:val="24"/>
          <w:u w:val="single"/>
          <w:lang w:val="ru-RU"/>
        </w:rPr>
        <w:t>Пільги із сплати податку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BB505E" w:rsidRPr="009D1A49" w:rsidRDefault="00BB505E" w:rsidP="00BB505E">
      <w:pPr>
        <w:ind w:right="-56" w:firstLine="567"/>
        <w:jc w:val="both"/>
      </w:pPr>
      <w:r w:rsidRPr="009D1A49">
        <w:t xml:space="preserve">а) для квартири/квартир незалежно від їх кількості - на </w:t>
      </w:r>
      <w:smartTag w:uri="urn:schemas-microsoft-com:office:smarttags" w:element="metricconverter">
        <w:smartTagPr>
          <w:attr w:name="ProductID" w:val="60 кв. метрів"/>
        </w:smartTagPr>
        <w:r w:rsidRPr="009D1A49">
          <w:t>60 кв. метрів</w:t>
        </w:r>
      </w:smartTag>
      <w:r w:rsidRPr="009D1A49">
        <w:t>;</w:t>
      </w:r>
    </w:p>
    <w:p w:rsidR="00BB505E" w:rsidRPr="009D1A49" w:rsidRDefault="00BB505E" w:rsidP="00BB505E">
      <w:pPr>
        <w:ind w:right="-56" w:firstLine="567"/>
        <w:jc w:val="both"/>
      </w:pPr>
      <w:r w:rsidRPr="009D1A49">
        <w:t xml:space="preserve">б) для житлового будинку/будинків незалежно від їх кількості - на </w:t>
      </w:r>
      <w:smartTag w:uri="urn:schemas-microsoft-com:office:smarttags" w:element="metricconverter">
        <w:smartTagPr>
          <w:attr w:name="ProductID" w:val="120 кв. метрів"/>
        </w:smartTagPr>
        <w:r w:rsidRPr="009D1A49">
          <w:t>120 кв. метрів</w:t>
        </w:r>
      </w:smartTag>
      <w:r w:rsidRPr="009D1A49">
        <w:t>;</w:t>
      </w:r>
    </w:p>
    <w:p w:rsidR="00BB505E" w:rsidRPr="009D1A49" w:rsidRDefault="00BB505E" w:rsidP="00BB505E">
      <w:pPr>
        <w:ind w:right="-56" w:firstLine="567"/>
        <w:jc w:val="both"/>
      </w:pPr>
      <w:r w:rsidRPr="009D1A49">
        <w:t xml:space="preserve"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</w:r>
      <w:smartTag w:uri="urn:schemas-microsoft-com:office:smarttags" w:element="metricconverter">
        <w:smartTagPr>
          <w:attr w:name="ProductID" w:val="180 кв. метрів"/>
        </w:smartTagPr>
        <w:r w:rsidRPr="009D1A49">
          <w:t>180 кв. метрів</w:t>
        </w:r>
      </w:smartTag>
      <w:r w:rsidRPr="009D1A49">
        <w:t>.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t>Таке зменшення надається один раз за кожний базовий податковий (звітний) період (рік).</w:t>
      </w:r>
      <w:r w:rsidRPr="009D1A49">
        <w:rPr>
          <w:lang w:val="uk-UA"/>
        </w:rPr>
        <w:t xml:space="preserve"> </w:t>
      </w:r>
    </w:p>
    <w:p w:rsidR="00BB505E" w:rsidRPr="009D1A49" w:rsidRDefault="00BB505E" w:rsidP="00BB505E">
      <w:pPr>
        <w:jc w:val="both"/>
        <w:rPr>
          <w:lang w:val="uk-UA"/>
        </w:rPr>
      </w:pPr>
      <w:r w:rsidRPr="009D1A49">
        <w:rPr>
          <w:lang w:val="uk-UA"/>
        </w:rPr>
        <w:t xml:space="preserve">         Сільська рада може встановлювати додаткові пільги з податку, що сплачується на відповідній території з об'єктів житлової нерухомості, що перебувають у власності фізичних та юридичних осіб або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 виходячи з їхнього майнового стану та рівня доходів.</w:t>
      </w:r>
    </w:p>
    <w:p w:rsidR="00BB505E" w:rsidRPr="009D1A49" w:rsidRDefault="00BB505E" w:rsidP="00BB505E">
      <w:pPr>
        <w:pStyle w:val="StyleZakonu"/>
        <w:spacing w:after="120" w:line="240" w:lineRule="auto"/>
        <w:ind w:firstLine="0"/>
        <w:rPr>
          <w:rFonts w:ascii="Times New Roman" w:hAnsi="Times New Roman"/>
          <w:sz w:val="24"/>
          <w:szCs w:val="24"/>
          <w:lang w:val="uk-UA" w:eastAsia="ru-RU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</w:rPr>
      </w:pPr>
      <w:r w:rsidRPr="009D1A49">
        <w:rPr>
          <w:b/>
          <w:i/>
          <w:u w:val="single"/>
        </w:rPr>
        <w:t>Ставка податку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t>Ставки податку</w:t>
      </w:r>
      <w:r w:rsidRPr="009D1A49">
        <w:rPr>
          <w:lang w:val="uk-UA"/>
        </w:rPr>
        <w:t xml:space="preserve"> встановлюються  сільською радою в таких розмірах за </w:t>
      </w:r>
      <w:smartTag w:uri="urn:schemas-microsoft-com:office:smarttags" w:element="metricconverter">
        <w:smartTagPr>
          <w:attr w:name="ProductID" w:val="1 кв. метр"/>
        </w:smartTagPr>
        <w:r w:rsidRPr="009D1A49">
          <w:rPr>
            <w:lang w:val="uk-UA"/>
          </w:rPr>
          <w:t>1 кв. метр</w:t>
        </w:r>
      </w:smartTag>
      <w:r w:rsidRPr="009D1A49">
        <w:rPr>
          <w:lang w:val="uk-UA"/>
        </w:rPr>
        <w:t xml:space="preserve"> площі об’єкта нерухомості: 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 xml:space="preserve"> - для квартир, загальна площа яких перевищує </w:t>
      </w:r>
      <w:smartTag w:uri="urn:schemas-microsoft-com:office:smarttags" w:element="metricconverter">
        <w:smartTagPr>
          <w:attr w:name="ProductID" w:val="60 кв. метрів"/>
        </w:smartTagPr>
        <w:r w:rsidRPr="009D1A49">
          <w:rPr>
            <w:lang w:val="uk-UA"/>
          </w:rPr>
          <w:t>60 кв. метрів</w:t>
        </w:r>
      </w:smartTag>
      <w:r w:rsidRPr="009D1A49">
        <w:rPr>
          <w:lang w:val="uk-UA"/>
        </w:rPr>
        <w:t xml:space="preserve">, та житлових будинків, загальна площа яких перевищує </w:t>
      </w:r>
      <w:smartTag w:uri="urn:schemas-microsoft-com:office:smarttags" w:element="metricconverter">
        <w:smartTagPr>
          <w:attr w:name="ProductID" w:val="120 кв. метрів"/>
        </w:smartTagPr>
        <w:r w:rsidRPr="009D1A49">
          <w:rPr>
            <w:lang w:val="uk-UA"/>
          </w:rPr>
          <w:t>120 кв. метрів</w:t>
        </w:r>
      </w:smartTag>
      <w:r w:rsidRPr="009D1A49">
        <w:rPr>
          <w:lang w:val="uk-UA"/>
        </w:rPr>
        <w:t xml:space="preserve"> – 0,1 відсотка розміру мінімальної заробітної плати, встановленої законом на 1 січня звітного (податкового) року;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lastRenderedPageBreak/>
        <w:t xml:space="preserve"> - для об’єктів житлової нерухомості, в тому числі їх часток ( у разі одночасного перебування у власності платника податку квартири/квартир та житлового будинку/будинків, у тому числі їх часток), - 0,1 відсотка розміру мінімальної заробітної плати, встановленої законом на 1 січня звітного (податкового) року;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 xml:space="preserve"> - для господарських (присадибних будівель – допоміжних (нежитлових) приміщень, до яких належить сараї, хліви, гражі, літні кухні, майстерні, вбиральні, погреби, навіси, котельні, бойлерні, трансформаторні підстанції тощо – 0,1 відсотка розміру  мінімальної заробітної платьи, встановленої законом на 1 січня звітного (податкового) року;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 xml:space="preserve"> - для об’єктів нежитлової нерухомості (будівлі, готельні, офісні, торговельні, гаражі, промислові та склади та ін..), що перебувають у власності фізичних та юридичних осіб, за кожен метр площі нерухомості – 0,1 відсоток розміру мінімальної заробітної плати, встановленої законом на 1 січня звітного ( податкового) року.</w:t>
      </w: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  <w:lang w:val="uk-UA"/>
        </w:rPr>
      </w:pPr>
      <w:r w:rsidRPr="009D1A49">
        <w:rPr>
          <w:b/>
          <w:i/>
          <w:u w:val="single"/>
          <w:lang w:val="uk-UA"/>
        </w:rPr>
        <w:t>Податковий період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Базовий податковий (звітний) період дорівнює календарному року.</w:t>
      </w: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bCs/>
          <w:i/>
          <w:u w:val="single"/>
          <w:lang w:val="uk-UA"/>
        </w:rPr>
      </w:pPr>
      <w:r w:rsidRPr="009D1A49">
        <w:rPr>
          <w:b/>
          <w:bCs/>
          <w:i/>
          <w:u w:val="single"/>
          <w:lang w:val="uk-UA"/>
        </w:rPr>
        <w:t>Порядок обчислення суми податку</w:t>
      </w:r>
    </w:p>
    <w:p w:rsidR="00BB505E" w:rsidRPr="009D1A49" w:rsidRDefault="00BB505E" w:rsidP="00BB505E">
      <w:pPr>
        <w:pStyle w:val="ListParagraph"/>
        <w:autoSpaceDE/>
        <w:ind w:left="0" w:right="-56" w:firstLine="567"/>
        <w:jc w:val="both"/>
        <w:rPr>
          <w:lang w:val="uk-UA"/>
        </w:rPr>
      </w:pPr>
      <w:r w:rsidRPr="009D1A49">
        <w:rPr>
          <w:lang w:val="uk-UA"/>
        </w:rPr>
        <w:t>1. Обчислення суми податку з об'єктів житлової нерухомості, які перебувають у власності фізичних осіб, проводиться органом державної податкової служби за місцем податкової адреси власника нерухомості.</w:t>
      </w:r>
    </w:p>
    <w:p w:rsidR="00BB505E" w:rsidRPr="009D1A49" w:rsidRDefault="00BB505E" w:rsidP="00BB505E">
      <w:pPr>
        <w:pStyle w:val="ListParagraph"/>
        <w:autoSpaceDE/>
        <w:ind w:left="0" w:right="-56" w:firstLine="567"/>
        <w:jc w:val="both"/>
        <w:rPr>
          <w:sz w:val="24"/>
          <w:szCs w:val="24"/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  <w:lang w:val="uk-UA"/>
        </w:rPr>
      </w:pPr>
      <w:r w:rsidRPr="009D1A49">
        <w:rPr>
          <w:b/>
          <w:i/>
          <w:u w:val="single"/>
          <w:lang w:val="uk-UA"/>
        </w:rPr>
        <w:t>Порядок сплати податку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rPr>
          <w:lang w:val="uk-UA"/>
        </w:rPr>
        <w:t>Податок сплачується за місцем розташування об'єкта/об'єктів оподаткування і зараховується до відповідного бюджету згідно з положеннями Бюджетного кодексу</w:t>
      </w:r>
      <w:r w:rsidRPr="009D1A49">
        <w:t> </w:t>
      </w:r>
      <w:r w:rsidRPr="009D1A49">
        <w:rPr>
          <w:lang w:val="uk-UA"/>
        </w:rPr>
        <w:t>України.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  <w:r w:rsidRPr="009D1A49">
        <w:t>Фізичні особи можуть сплачувати податок у сільській місцевості через касу сільської ради за квитанцією про прийняття податків.</w:t>
      </w: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center"/>
        <w:rPr>
          <w:b/>
          <w:i/>
          <w:u w:val="single"/>
        </w:rPr>
      </w:pPr>
      <w:r w:rsidRPr="009D1A49">
        <w:rPr>
          <w:b/>
          <w:i/>
          <w:u w:val="single"/>
        </w:rPr>
        <w:t>Строки сплати податку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Податкове зобов'язання за звітний рік з податку сплачується: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а) фізичними особами - протягом 60 днів з дня вручення податкового повідомлення-рішення;</w:t>
      </w:r>
    </w:p>
    <w:p w:rsidR="00BB505E" w:rsidRPr="009D1A49" w:rsidRDefault="00BB505E" w:rsidP="00BB505E">
      <w:pPr>
        <w:ind w:right="-56" w:firstLine="567"/>
        <w:jc w:val="both"/>
      </w:pPr>
      <w:r w:rsidRPr="009D1A49"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BB505E" w:rsidRPr="009D1A49" w:rsidRDefault="00BB505E" w:rsidP="00BB505E">
      <w:pPr>
        <w:ind w:right="-56" w:firstLine="567"/>
        <w:jc w:val="both"/>
      </w:pP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 w:firstLine="567"/>
        <w:jc w:val="both"/>
      </w:pPr>
    </w:p>
    <w:p w:rsidR="00BB505E" w:rsidRPr="009D1A49" w:rsidRDefault="00BB505E" w:rsidP="00BB505E">
      <w:pPr>
        <w:ind w:right="-56" w:firstLine="567"/>
        <w:jc w:val="both"/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BB505E" w:rsidRPr="009D1A49" w:rsidRDefault="00BB505E" w:rsidP="00BB505E">
      <w:pPr>
        <w:ind w:right="-56"/>
        <w:jc w:val="both"/>
        <w:rPr>
          <w:lang w:val="uk-UA"/>
        </w:rPr>
      </w:pPr>
    </w:p>
    <w:p w:rsidR="00CA0195" w:rsidRPr="00BB505E" w:rsidRDefault="00CA0195">
      <w:pPr>
        <w:rPr>
          <w:lang w:val="uk-UA"/>
        </w:rPr>
      </w:pPr>
      <w:bookmarkStart w:id="0" w:name="_GoBack"/>
      <w:bookmarkEnd w:id="0"/>
    </w:p>
    <w:sectPr w:rsidR="00CA0195" w:rsidRPr="00BB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C"/>
    <w:rsid w:val="00BB505E"/>
    <w:rsid w:val="00CA0195"/>
    <w:rsid w:val="00E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505E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StyleZakonu">
    <w:name w:val="StyleZakonu"/>
    <w:basedOn w:val="a"/>
    <w:rsid w:val="00BB505E"/>
    <w:pPr>
      <w:spacing w:after="60" w:line="220" w:lineRule="exact"/>
      <w:ind w:firstLine="284"/>
      <w:jc w:val="both"/>
    </w:pPr>
    <w:rPr>
      <w:rFonts w:ascii="Cambria" w:eastAsia="Calibri" w:hAnsi="Cambr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505E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StyleZakonu">
    <w:name w:val="StyleZakonu"/>
    <w:basedOn w:val="a"/>
    <w:rsid w:val="00BB505E"/>
    <w:pPr>
      <w:spacing w:after="60" w:line="220" w:lineRule="exact"/>
      <w:ind w:firstLine="284"/>
      <w:jc w:val="both"/>
    </w:pPr>
    <w:rPr>
      <w:rFonts w:ascii="Cambria" w:eastAsia="Calibri" w:hAnsi="Cambr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2020-07-09T09:30:00Z</dcterms:created>
  <dcterms:modified xsi:type="dcterms:W3CDTF">2020-07-09T09:30:00Z</dcterms:modified>
</cp:coreProperties>
</file>