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D6" w:rsidRPr="000B1816" w:rsidRDefault="000B1816" w:rsidP="000B1816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Звіт про роботу </w:t>
      </w:r>
      <w:r>
        <w:rPr>
          <w:rFonts w:ascii="Times New Roman" w:hAnsi="Times New Roman"/>
          <w:b/>
          <w:sz w:val="28"/>
          <w:szCs w:val="28"/>
          <w:lang w:val="uk-UA"/>
        </w:rPr>
        <w:t>гуманітарного</w:t>
      </w:r>
      <w:r w:rsidR="007F01D6" w:rsidRPr="00673E51">
        <w:rPr>
          <w:rFonts w:ascii="Times New Roman" w:hAnsi="Times New Roman"/>
          <w:b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B1816" w:rsidRPr="00673E51" w:rsidRDefault="000B1816" w:rsidP="004366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9 місяців 2018 року</w:t>
      </w:r>
    </w:p>
    <w:p w:rsidR="007F01D6" w:rsidRPr="00673E51" w:rsidRDefault="007F01D6" w:rsidP="00436670">
      <w:pPr>
        <w:shd w:val="clear" w:color="auto" w:fill="FFFFFF"/>
        <w:spacing w:before="225"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ab/>
      </w: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З моменту створення гуманітарного відділу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одним із основних його завдань є забезпечення реалізації державної політики в сфері освіти та культури.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На сьогоднішній день в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Городищенській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громаді є п’ять закладів загальної середньої освіти, в яких навчається 422 учні (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І-ІІІ ступенів – 118 учнів,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Несвічівський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І-ІІІ ступенів – 68 учнів,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Угринівський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І-ІІІ ступенів – 158 учнів,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Бережанківський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І-ІІ ступенів – 38 учнів,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Михлинський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І-ІІ ступенів – 40 учнів). Функціонує 37 класів. Для здобувачів освіти, де менше 5 осіб у класі, організовано індивідуальну форму навчання (відповідно до Положення про індивідуальну форму навчання). Таких учнів у громаді – 42. З них за станом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здоров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>’</w:t>
      </w: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я – 3. В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Угринівському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організоване інклюзивне навчання для учениці 9 класу.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У закладах загальної середньої освіти  навчаються: 12 дітей-напівсиріт; 23 дітей, які виховуються матерями-одиночками або одним батьком; 1 дитина, зареєстрована як внутрішньо переміщена особа; 8 дітей, взятих на облік службами як таких, що перебувають у складних життєвих обставинах; 11 здобувачів освіти – інвалідів;  63 – за категорією потерпілих унаслідок аварії на ЧАЕС; 171 дитини з багатодітних сімей;  28 дітей з малозабезпечених сімей; 14 дітей, батьки яких перебували у зоні АТО. 58 учнів охоплено безкоштовним харчуванням. Плата за харчування становить 14 грн. У початкових класах оплата становить 50% від вартості. 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 На виконання розпорядження голови Волинської обласної державної адміністрації проведено оздоровлення 5 дітей пільгових категорій, на що витрачено 20 000грн. (10 000 грн. з місцевого та 10 000 грн. обласного бюджету).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>У закладах загальної середньої освіти нараховується 84 педагогічних працівників, з них – 4 сумісників. З неповним тижневим навантаженням працюють 26 вчителів, з них – 3 сумісників.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>На оплату праці педагогічних працівників, відпускні та оздоровчі витрачено 7 479 248 грн., з них – 840 548 грн. коштів місцевого бюджету.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>На оплату праці обслуговуючого персоналу закладів загальної середньої освіти витрачено 1 683 201 грн. місцевих коштів.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>Забезпечення всебічного розвитку дітей дошкільного віку в громаді відповідно до їх індивідуальних особливостей, культурних потреб, спільно із батьками здійснюють 4 заклади дошкільної освіти. У них виховується 119 дітей (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ЗДО «Росинка» –  40 дітей – дві різновікові групи,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Несвічівський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ЗДО «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Пізнайко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» – 27 дітей – одна різновікова група,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Угринівський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ЗДО «Зірочка» – 34 дитини – дві різновікові групи,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Михлинський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ЗДО «Дзвіночок» –  18 дітей – одна різновікова група).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lastRenderedPageBreak/>
        <w:t>Серед загальної кількості дітей, що охоплені дошкільною освітою, нараховується: 1 дитина-напівсирота; 1 дитина, взята на облік як така, що перебуває в складних життєвих обставинах; 3 дитини, які виховуються матерями-одиночками; 4 дітей учасників АТО; 38 дітей з багатодітних сімей; 4 дітей з малозабезпечених сімей; 10 дітей-чорнобильців. Безкоштовним харчуванням охоплено 10 дітей.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>Обов’язкова  плата за харчування становить 25 грн., з них 40% оплачують батьки.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Діти 5-ти (6-ти) років, які не відвідують заклади дошкільної освіти охоплені соціально-педагогічним патронатом. Така форма роботи налаштована у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Бережанківському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ЗЗСО І-ІІ ступенів.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>У закладах дошкільної освіти нараховується 12 педагогічних працівників. Їх оплата праці, відпускні та оздоровчі разом із обслуговуючим персоналом становить 1 520 932 грн.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3E51">
        <w:rPr>
          <w:rFonts w:ascii="Times New Roman" w:hAnsi="Times New Roman"/>
          <w:sz w:val="28"/>
          <w:szCs w:val="28"/>
        </w:rPr>
        <w:t>Заклади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</w:rPr>
        <w:t>освіти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73E51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673E51">
        <w:rPr>
          <w:rFonts w:ascii="Times New Roman" w:hAnsi="Times New Roman"/>
          <w:sz w:val="28"/>
          <w:szCs w:val="28"/>
        </w:rPr>
        <w:t xml:space="preserve">  над</w:t>
      </w:r>
      <w:proofErr w:type="gramEnd"/>
      <w:r w:rsidRPr="00673E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73E51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673E51">
        <w:rPr>
          <w:rFonts w:ascii="Times New Roman" w:hAnsi="Times New Roman"/>
          <w:sz w:val="28"/>
          <w:szCs w:val="28"/>
        </w:rPr>
        <w:t xml:space="preserve"> нового Закону </w:t>
      </w:r>
      <w:proofErr w:type="spellStart"/>
      <w:r w:rsidRPr="00673E5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73E5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73E51">
        <w:rPr>
          <w:rFonts w:ascii="Times New Roman" w:hAnsi="Times New Roman"/>
          <w:sz w:val="28"/>
          <w:szCs w:val="28"/>
        </w:rPr>
        <w:t>освіту</w:t>
      </w:r>
      <w:proofErr w:type="spellEnd"/>
      <w:r w:rsidRPr="00673E51">
        <w:rPr>
          <w:rFonts w:ascii="Times New Roman" w:hAnsi="Times New Roman"/>
          <w:sz w:val="28"/>
          <w:szCs w:val="28"/>
        </w:rPr>
        <w:t xml:space="preserve">», </w:t>
      </w:r>
      <w:r w:rsidRPr="00673E51">
        <w:rPr>
          <w:rFonts w:ascii="Times New Roman" w:hAnsi="Times New Roman"/>
          <w:sz w:val="28"/>
          <w:szCs w:val="28"/>
          <w:lang w:val="uk-UA"/>
        </w:rPr>
        <w:t xml:space="preserve">спеціальних Законів та </w:t>
      </w:r>
      <w:proofErr w:type="spellStart"/>
      <w:r w:rsidRPr="00673E51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673E51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673E51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673E51">
        <w:rPr>
          <w:rFonts w:ascii="Times New Roman" w:hAnsi="Times New Roman"/>
          <w:sz w:val="28"/>
          <w:szCs w:val="28"/>
        </w:rPr>
        <w:t xml:space="preserve"> школа»</w:t>
      </w:r>
      <w:r w:rsidRPr="00673E51">
        <w:rPr>
          <w:rFonts w:ascii="Times New Roman" w:hAnsi="Times New Roman"/>
          <w:sz w:val="28"/>
          <w:szCs w:val="28"/>
          <w:lang w:val="uk-UA"/>
        </w:rPr>
        <w:t xml:space="preserve">, Програм «Розвитку освіти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сільської ради на 2018-2020 роки», «Соціального захисту дітей, профілактики бездоглядності та правопорушень у дитячому середовищі на 2018-2020 роки», «Оздоровлення та відпочинку дітей на 2018-2020 роки».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сільської ради від 12 червня 2018 року №39-10/10 усі заклади дошкільної та загальної середньої освіти були прийняті у комунальну власність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сільської ради та рішенням №39-10/11 були затверджені нові назви закладів освіти та їх статути, які були зареєстровані в Єдиному державному реєстрі (2 700 грн. з місцевого бюджету). Директорам видано нові печатки та штампи (4 830 грн. з місцевого бюджету).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До закладів культури входять будинки культури сіл Городище,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Несвіч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Угринів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Бережанка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, клуб села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Михлин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та п’ять бібліотек цих же сіл. Зазначимо, що бібліотека у селі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Несвіч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функціонує у школі зі шкільним та сільським книжковими фондами.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Директори закладів культури у своїй роботі керуються Законами України «Про культуру», «Про бібліотеки та бібліотечну справу», Програмою «Розвитку культури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на 2018-2020 роки». Рішенням сесії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від 20 липня 2018 року №40-11/11 були затверджені Положення про бібліотеку, будинок культури та  клуб. 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На оплату праці, відпускних та оздоровчих для усіх працівників культури витрачено 511 845 грн. 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Методична робота в ОТГ будується  за принципом моніторингу – систематичної аналітико-діагностичної  діяльності, де враховуються інтереси, запити всіх категорій педагогів та керівників закладів освіти та культури. Методичне забезпечення діяльності закладів освіти та закладів культури </w:t>
      </w:r>
      <w:r w:rsidRPr="00673E51">
        <w:rPr>
          <w:rFonts w:ascii="Times New Roman" w:hAnsi="Times New Roman"/>
          <w:sz w:val="28"/>
          <w:szCs w:val="28"/>
          <w:lang w:val="uk-UA"/>
        </w:rPr>
        <w:lastRenderedPageBreak/>
        <w:t>здійснювали відділ освіти, молоді та з питань фізичної культури і спорту та сектор культури Луцької РДА. Фінансування цих заходів проведено в обсязі – 20 375 грн. (17 000+3 375).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Особливо велика увага у нашій громаді надається створенню комфортних умов перебування громадян у закладах освіти та культури. Так, на перекриття даху у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Несвічівському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виділено 1 222 264 грн. з місцевого бюджету; з обласного бюджету на капітальний та поточний ремонти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виділено 314 000 грн. та 396 000 грн. відповідно; на поточні ремонти закладів дошкільної та загальної середньої  освіти, придбання миючих та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дезинфікуючих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засобів використано 27 406 грн. місцевих коштів. Придбано вертикальні жалюзі для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Городищенського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на суму 13 426 грн. (місцевий бюджет). Облаштовано дитячий майданчик для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ЗДО «Зірочка» на суму 40 000 грн. (25 000 грн. з місцевого бюджету та 15 000 грн. – спонсорська допомога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А.О.Никонюка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). У квітні 2018 року закуплено 8 комп’ютерів для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Бережанківського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на суму 110 000 грн. (обласний бюджет). Для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придбано ноутбук, проектор, принтер та кабель на суму 21 220 грн. місцевих коштів. 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На ремонт шкільного автобуса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витрачено 6 565 грн. місцевих коштів.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bCs/>
          <w:sz w:val="28"/>
          <w:szCs w:val="28"/>
          <w:lang w:val="uk-UA"/>
        </w:rPr>
        <w:t>Для відзначення здобувачів освіти – переможців обласних олімпіад та конкурсів, педагогів – керівників команд було надано кошти для преміювання у сумі 4050грн.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На виконання приписів пожежників встановлено східцеві двері у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Городищенському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– 30 476 грн.; придбано та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перезаряджено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наявні вогнегасники для усіх закладів освіти на суму 9 400 грн.; встановлено блискавкозахист у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Несвічівському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– 68 082 грн. та здійснено вогнезахист дерев’яних конструкцій під покрівлю – 41 998 грн. (це включалось у проект по перекриттю покрівлі).</w:t>
      </w:r>
    </w:p>
    <w:p w:rsidR="000A48DE" w:rsidRPr="00673E51" w:rsidRDefault="000A48DE" w:rsidP="000A48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Поточний ремонт сходів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Бережанківського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– 14 648 грн.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З метою забезпечення переходу до «Нової української школи», створення нового освітнього середовища проведено закупівлю сучасних меблів: парти – 63 600 грн., шафи для зон НУШ – 42 727 грн. Придбано дидактичний матеріал на суму 78 498 грн. та комп’ютерне обладнання на суму 191 660 грн. При фінансуванні з відповідних субвенцій 190 040 грн. на НУШ та 29 430 грн. на комп’ютерну техніку для початкової школи,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громади становить 192 040 грн. 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Для кабінету директора та роздягальні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Угринівського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придбано меблі на суму 48 974 грн. Для 1 класу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Городищенського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ЗЗСО придбано дві шафи на суму 7 095 грн.</w:t>
      </w:r>
    </w:p>
    <w:p w:rsidR="007F01D6" w:rsidRPr="00673E51" w:rsidRDefault="007F01D6" w:rsidP="004366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3E51">
        <w:rPr>
          <w:rFonts w:ascii="Times New Roman" w:hAnsi="Times New Roman"/>
          <w:sz w:val="28"/>
          <w:szCs w:val="28"/>
          <w:lang w:val="uk-UA"/>
        </w:rPr>
        <w:t xml:space="preserve">Здійснено уже чимало </w:t>
      </w:r>
      <w:proofErr w:type="spellStart"/>
      <w:r w:rsidRPr="00673E51">
        <w:rPr>
          <w:rFonts w:ascii="Times New Roman" w:hAnsi="Times New Roman"/>
          <w:sz w:val="28"/>
          <w:szCs w:val="28"/>
          <w:lang w:val="uk-UA"/>
        </w:rPr>
        <w:t>проплат</w:t>
      </w:r>
      <w:proofErr w:type="spellEnd"/>
      <w:r w:rsidRPr="00673E51">
        <w:rPr>
          <w:rFonts w:ascii="Times New Roman" w:hAnsi="Times New Roman"/>
          <w:sz w:val="28"/>
          <w:szCs w:val="28"/>
          <w:lang w:val="uk-UA"/>
        </w:rPr>
        <w:t xml:space="preserve"> за доставку підручників для учнів 1, 5 та 10 класів.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Надзвичайно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велику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проводять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3E51">
        <w:rPr>
          <w:rFonts w:ascii="Times New Roman" w:hAnsi="Times New Roman"/>
          <w:sz w:val="28"/>
          <w:szCs w:val="28"/>
          <w:lang w:eastAsia="ru-RU"/>
        </w:rPr>
        <w:t xml:space="preserve">установи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нашої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>. Так</w:t>
      </w: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традиційними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стали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свят </w:t>
      </w:r>
      <w:proofErr w:type="gramStart"/>
      <w:r w:rsidRPr="00673E51">
        <w:rPr>
          <w:rFonts w:ascii="Times New Roman" w:hAnsi="Times New Roman"/>
          <w:sz w:val="28"/>
          <w:szCs w:val="28"/>
          <w:lang w:eastAsia="ru-RU"/>
        </w:rPr>
        <w:t>у селах</w:t>
      </w:r>
      <w:proofErr w:type="gram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нашої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. З метою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популяризації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українських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традицій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згуртуванню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жителів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році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були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проведені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Дні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села у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Михлині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Несвічі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>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Учасники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наших </w:t>
      </w: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хореографічного та хорових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аматорських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колективів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активними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учасниками</w:t>
      </w:r>
      <w:proofErr w:type="spellEnd"/>
      <w:r w:rsidRPr="00673E51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73E51">
        <w:rPr>
          <w:rFonts w:ascii="Times New Roman" w:hAnsi="Times New Roman"/>
          <w:sz w:val="28"/>
          <w:szCs w:val="28"/>
          <w:lang w:eastAsia="ru-RU"/>
        </w:rPr>
        <w:t>переможцями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як районних, так і обласних та Всеукраїнських конкурсів. 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Для забезпечення творчо-виробничого процесу щодо якісного культурного обслуговування жителів громади було придбано сценічні завіси для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с.Несвіч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– 6 900 грн., для БК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с.Бережанка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– 36 530 грн. та костюми для хореографічного колективу «Сузір’я» – 3 060 грн.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Для комфортного обслуговування населення рішенням сесії було переведено пункти первинної допомоги в клуб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с.Михлин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та БК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. На поточний ремонт частини приміщення БК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витрачено 140 000 грн. місцевих коштів.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У БК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с.Бережанка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облаштовано сходи бруківкою на суму 65 000 грн. Також проведено поточний ремонт електропроводки на суму 61 541 грн. Такий же поточний ремонт електропроводки був здійснений у БК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с.Угринів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на суму 99 556грн. Усі кошти – з місцевого бюджету.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Здійснено підписку періодичних видань (на чотири місяці до кінця року) для п’яти бібліотек громади та гуманітарного відділу –  3 444 грн. 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Чимала кількість заходів проходить за спільної участі бібліотекарів та директорів БК. 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Надзвичайно вдалим був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флешмоб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за участю усіх установ нашої громади, присвячений Дню вишиванки.</w:t>
      </w:r>
    </w:p>
    <w:p w:rsidR="007F01D6" w:rsidRPr="00673E51" w:rsidRDefault="007F01D6" w:rsidP="004366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Попереду ще багато заходів, створення оптимальної мережі закладів і реалізація Програм розвитку освіти та культури </w:t>
      </w:r>
      <w:proofErr w:type="spellStart"/>
      <w:r w:rsidRPr="00673E51">
        <w:rPr>
          <w:rFonts w:ascii="Times New Roman" w:hAnsi="Times New Roman"/>
          <w:sz w:val="28"/>
          <w:szCs w:val="28"/>
          <w:lang w:val="uk-UA" w:eastAsia="ru-RU"/>
        </w:rPr>
        <w:t>Городищенської</w:t>
      </w:r>
      <w:proofErr w:type="spellEnd"/>
      <w:r w:rsidRPr="00673E51">
        <w:rPr>
          <w:rFonts w:ascii="Times New Roman" w:hAnsi="Times New Roman"/>
          <w:sz w:val="28"/>
          <w:szCs w:val="28"/>
          <w:lang w:val="uk-UA" w:eastAsia="ru-RU"/>
        </w:rPr>
        <w:t xml:space="preserve"> об’єднаної територіальної громади.</w:t>
      </w:r>
    </w:p>
    <w:p w:rsidR="007F01D6" w:rsidRPr="00673E51" w:rsidRDefault="007F01D6" w:rsidP="0043667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673E51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D6" w:rsidRPr="00673E51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D6" w:rsidRPr="00673E51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D6" w:rsidRPr="00673E51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673E51" w:rsidRDefault="007F01D6" w:rsidP="00436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01D6" w:rsidRPr="00673E51" w:rsidRDefault="007F01D6" w:rsidP="00DA7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p w:rsidR="007F01D6" w:rsidRPr="000A48DE" w:rsidRDefault="007F01D6" w:rsidP="00DA75B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uk-UA" w:eastAsia="ru-RU"/>
        </w:rPr>
      </w:pPr>
    </w:p>
    <w:sectPr w:rsidR="007F01D6" w:rsidRPr="000A48DE" w:rsidSect="00496B53">
      <w:pgSz w:w="11906" w:h="16838"/>
      <w:pgMar w:top="567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D0D"/>
    <w:multiLevelType w:val="hybridMultilevel"/>
    <w:tmpl w:val="079AFEA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91664D"/>
    <w:multiLevelType w:val="hybridMultilevel"/>
    <w:tmpl w:val="2B3E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316655"/>
    <w:multiLevelType w:val="hybridMultilevel"/>
    <w:tmpl w:val="4A1477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36079D"/>
    <w:multiLevelType w:val="hybridMultilevel"/>
    <w:tmpl w:val="9204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642E7C"/>
    <w:multiLevelType w:val="hybridMultilevel"/>
    <w:tmpl w:val="2C7CF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972016"/>
    <w:multiLevelType w:val="hybridMultilevel"/>
    <w:tmpl w:val="2BBC1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93DF9"/>
    <w:multiLevelType w:val="hybridMultilevel"/>
    <w:tmpl w:val="C130E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89A"/>
    <w:multiLevelType w:val="hybridMultilevel"/>
    <w:tmpl w:val="8C866B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19F32DE"/>
    <w:multiLevelType w:val="hybridMultilevel"/>
    <w:tmpl w:val="3328E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3BE"/>
    <w:rsid w:val="00033251"/>
    <w:rsid w:val="0003565D"/>
    <w:rsid w:val="0004674C"/>
    <w:rsid w:val="00064966"/>
    <w:rsid w:val="000A1DFF"/>
    <w:rsid w:val="000A370D"/>
    <w:rsid w:val="000A48DE"/>
    <w:rsid w:val="000B1816"/>
    <w:rsid w:val="000F7871"/>
    <w:rsid w:val="00111F7E"/>
    <w:rsid w:val="00113A49"/>
    <w:rsid w:val="00124A18"/>
    <w:rsid w:val="00125E8E"/>
    <w:rsid w:val="00127C50"/>
    <w:rsid w:val="00143971"/>
    <w:rsid w:val="001528C2"/>
    <w:rsid w:val="0016553C"/>
    <w:rsid w:val="001973D7"/>
    <w:rsid w:val="001F73C8"/>
    <w:rsid w:val="00206573"/>
    <w:rsid w:val="002212D4"/>
    <w:rsid w:val="00294BC7"/>
    <w:rsid w:val="002E05C8"/>
    <w:rsid w:val="002E7B06"/>
    <w:rsid w:val="00316235"/>
    <w:rsid w:val="0033405A"/>
    <w:rsid w:val="00366175"/>
    <w:rsid w:val="003B7C2D"/>
    <w:rsid w:val="003C3993"/>
    <w:rsid w:val="003D5186"/>
    <w:rsid w:val="003F6231"/>
    <w:rsid w:val="0040614D"/>
    <w:rsid w:val="00436670"/>
    <w:rsid w:val="004571E7"/>
    <w:rsid w:val="00496B53"/>
    <w:rsid w:val="004A3812"/>
    <w:rsid w:val="004B7DE2"/>
    <w:rsid w:val="004C6519"/>
    <w:rsid w:val="00511234"/>
    <w:rsid w:val="00525FEB"/>
    <w:rsid w:val="005442F2"/>
    <w:rsid w:val="00550A2B"/>
    <w:rsid w:val="00566A74"/>
    <w:rsid w:val="00567DF6"/>
    <w:rsid w:val="005C6301"/>
    <w:rsid w:val="00630E90"/>
    <w:rsid w:val="006325CC"/>
    <w:rsid w:val="00673E51"/>
    <w:rsid w:val="00674FB2"/>
    <w:rsid w:val="00686BA0"/>
    <w:rsid w:val="006B3045"/>
    <w:rsid w:val="006D3922"/>
    <w:rsid w:val="006D6039"/>
    <w:rsid w:val="006F27B8"/>
    <w:rsid w:val="0073115C"/>
    <w:rsid w:val="00731E2D"/>
    <w:rsid w:val="00752FC1"/>
    <w:rsid w:val="007602DA"/>
    <w:rsid w:val="007A7121"/>
    <w:rsid w:val="007A7131"/>
    <w:rsid w:val="007D1424"/>
    <w:rsid w:val="007D255D"/>
    <w:rsid w:val="007D6C10"/>
    <w:rsid w:val="007F01D6"/>
    <w:rsid w:val="007F124D"/>
    <w:rsid w:val="007F3CC7"/>
    <w:rsid w:val="007F483E"/>
    <w:rsid w:val="007F4DF8"/>
    <w:rsid w:val="008054FF"/>
    <w:rsid w:val="00823B24"/>
    <w:rsid w:val="00842BCD"/>
    <w:rsid w:val="00893F6D"/>
    <w:rsid w:val="009077CD"/>
    <w:rsid w:val="0091629E"/>
    <w:rsid w:val="009260A5"/>
    <w:rsid w:val="00934C97"/>
    <w:rsid w:val="0097508F"/>
    <w:rsid w:val="009811D4"/>
    <w:rsid w:val="009827D3"/>
    <w:rsid w:val="00987679"/>
    <w:rsid w:val="009D3B57"/>
    <w:rsid w:val="009F66E4"/>
    <w:rsid w:val="00A00959"/>
    <w:rsid w:val="00A0413A"/>
    <w:rsid w:val="00A119CC"/>
    <w:rsid w:val="00A21DDF"/>
    <w:rsid w:val="00A53E56"/>
    <w:rsid w:val="00A54405"/>
    <w:rsid w:val="00A567D3"/>
    <w:rsid w:val="00AB11C8"/>
    <w:rsid w:val="00AC53BE"/>
    <w:rsid w:val="00AD3C2F"/>
    <w:rsid w:val="00AF4699"/>
    <w:rsid w:val="00B04E90"/>
    <w:rsid w:val="00B25A92"/>
    <w:rsid w:val="00B25F6F"/>
    <w:rsid w:val="00B31432"/>
    <w:rsid w:val="00B36DB3"/>
    <w:rsid w:val="00B5341D"/>
    <w:rsid w:val="00B607A1"/>
    <w:rsid w:val="00B66D50"/>
    <w:rsid w:val="00B84B05"/>
    <w:rsid w:val="00B97E15"/>
    <w:rsid w:val="00BB01AA"/>
    <w:rsid w:val="00BE7724"/>
    <w:rsid w:val="00BF6879"/>
    <w:rsid w:val="00C2601A"/>
    <w:rsid w:val="00C34DB0"/>
    <w:rsid w:val="00C46B69"/>
    <w:rsid w:val="00C5791B"/>
    <w:rsid w:val="00C63A4A"/>
    <w:rsid w:val="00CC1406"/>
    <w:rsid w:val="00CC3848"/>
    <w:rsid w:val="00CD761D"/>
    <w:rsid w:val="00CE7584"/>
    <w:rsid w:val="00D02779"/>
    <w:rsid w:val="00D17464"/>
    <w:rsid w:val="00D43A33"/>
    <w:rsid w:val="00D6108F"/>
    <w:rsid w:val="00D71C0B"/>
    <w:rsid w:val="00DA75BD"/>
    <w:rsid w:val="00DF185A"/>
    <w:rsid w:val="00E24923"/>
    <w:rsid w:val="00E85C7D"/>
    <w:rsid w:val="00E872AD"/>
    <w:rsid w:val="00EB4588"/>
    <w:rsid w:val="00EC208A"/>
    <w:rsid w:val="00EC653D"/>
    <w:rsid w:val="00ED74CB"/>
    <w:rsid w:val="00EE4E2B"/>
    <w:rsid w:val="00EF3C7B"/>
    <w:rsid w:val="00F01158"/>
    <w:rsid w:val="00F24642"/>
    <w:rsid w:val="00F456D4"/>
    <w:rsid w:val="00F457C3"/>
    <w:rsid w:val="00F46E2C"/>
    <w:rsid w:val="00F47B7A"/>
    <w:rsid w:val="00F51E92"/>
    <w:rsid w:val="00F5393C"/>
    <w:rsid w:val="00F665B8"/>
    <w:rsid w:val="00F910B7"/>
    <w:rsid w:val="00F9259F"/>
    <w:rsid w:val="00FA1CA3"/>
    <w:rsid w:val="00FA5E24"/>
    <w:rsid w:val="00FA6B3D"/>
    <w:rsid w:val="00FE41BB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0E19"/>
  <w15:docId w15:val="{E6AFD982-9899-4FF0-A8B5-786BFF4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25E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F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DA7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A75BD"/>
    <w:rPr>
      <w:rFonts w:cs="Times New Roman"/>
      <w:b/>
      <w:bCs/>
    </w:rPr>
  </w:style>
  <w:style w:type="paragraph" w:customStyle="1" w:styleId="11">
    <w:name w:val="Без интервала1"/>
    <w:uiPriority w:val="99"/>
    <w:rsid w:val="009260A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456D4"/>
    <w:pPr>
      <w:ind w:left="720"/>
      <w:contextualSpacing/>
    </w:pPr>
  </w:style>
  <w:style w:type="character" w:customStyle="1" w:styleId="9">
    <w:name w:val="Основной текст (9)_"/>
    <w:link w:val="90"/>
    <w:uiPriority w:val="99"/>
    <w:locked/>
    <w:rsid w:val="00125E8E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125E8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/>
      <w:b/>
      <w:bCs/>
      <w:noProof/>
      <w:sz w:val="18"/>
      <w:szCs w:val="1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125E8E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674FB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2018-10-26T13:54:00Z</cp:lastPrinted>
  <dcterms:created xsi:type="dcterms:W3CDTF">2018-10-22T18:40:00Z</dcterms:created>
  <dcterms:modified xsi:type="dcterms:W3CDTF">2018-11-21T12:14:00Z</dcterms:modified>
</cp:coreProperties>
</file>